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InvZulG 2010 — Gesonderte Feststellung</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Werden die in einem Betrieb im Sinne des § 2 des Einkommensteuergesetzes erzielten Einkünfte nach § 180 Abs. 1 Nr. 2 Buchstabe b der Abgabenordnung gesondert festgestellt, sind die Bemessungsgrundlage und der Prozentsatz der Investitionszulage für Wirtschaftsgüter, die zum Anlagevermögen dieses Betriebs gehören, von dem für die gesonderte Feststellung zuständigen Finanzamt gesondert festzustellen. Die für die Feststellung erforderlichen Angaben sind in den Antrag nach § 7 Abs. 2 aufzunehmen.</w:t>
      </w:r>
    </w:p>
    <w:p>
      <w:r>
        <w:t xml:space="preserve">(2) Befindet sich das für die Besteuerung des Anspruchsberechtigten nach dem Einkommen zuständige Finanzamt außerhalb des Fördergebiets, sind die Bemessungsgrundlage und der Prozentsatz der Investitionszulage von dem Finanzamt im Fördergebiet gesondert festzustellen, in dessen Bezirk sich das Vermögen des Anspruchsberechtigten und, wenn dies für mehrere Finanzämter zutrifft, von dem Finanzamt im Fördergebiet, in dessen Bezirk sich der wertvollste Teil des Vermögens befindet. Die für die Feststellung erforderlichen Angaben sind in den Antrag nach § 7 Abs. 2 aufzunehmen.</w:t>
      </w:r>
    </w:p>
    <w:p>
      <w:r>
        <w:rPr>
          <w:color w:val="555555"/>
          <w:sz w:val="17"/>
        </w:rPr>
        <w:t xml:space="preserve">Zitiervorschlag: § 8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