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InvZulG 2010 — Bemessungsgrundlage</w:t>
      </w:r>
    </w:p>
    <w:p>
      <w:r>
        <w:rPr>
          <w:color w:val="555555"/>
          <w:sz w:val="18"/>
        </w:rPr>
        <w:t xml:space="preserve">Investitionszulagengesetz 2010</w:t>
      </w:r>
    </w:p>
    <w:p>
      <w:r>
        <w:rPr>
          <w:color w:val="555555"/>
          <w:sz w:val="18"/>
        </w:rPr>
        <w:t xml:space="preserve">Stand: 10.06.2019 (konsolidierte Textfassung, kein amtliches Inkrafttretensdatum)</w:t>
      </w:r>
    </w:p>
    <w:p>
      <w:r>
        <w:t xml:space="preserve">Bemessungsgrundlage der Investitionszulage ist die Summe der Anschaffungs- und Herstellungskosten der im Wirtschaftsjahr oder Kalenderjahr abgeschlossenen begünstigten Investitionen, soweit sie die vor dem 1. Januar 2010 entstandenen Teilherstellungskosten oder den Teil der Anschaffungskosten, der auf die vor dem 1. Januar 2010 erfolgten Teillieferungen entfällt, übersteigen. In die Bemessungsgrundlage können die im Wirtschaftsjahr oder Kalenderjahr geleisteten Anzahlungen auf Anschaffungskosten und die entstandenen Teilherstellungskosten einbezogen werden. Das gilt für vor dem 1. Januar 2010 geleistete Anzahlungen auf Anschaffungskosten nur insoweit, als sie den Teil der Anschaffungskosten, der auf die vor dem 1. Januar 2010 erfolgten Teillieferungen entfällt, übersteigen. In den Fällen der Sätze 2 und 3 dürfen im Wirtschaftsjahr oder Kalenderjahr der Anschaffung oder Herstellung der Wirtschaftsgüter die Anschaffungs- oder Herstellungskosten bei der Bemessung der Investitionszulage nur berücksichtigt werden, soweit sie die Anzahlungen, Teilherstellungskosten oder die Anschaffungskosten für Teillieferungen übersteigen. § 7a Abs. 2 Satz 3 bis 5 des Einkommensteuergesetzes gilt entsprechend. Die Beschränkungen der Bemessungsgrundlage nach den Sätzen 1 und 3 gelten nur, soweit ein Anspruch auf Investitionszulage nach dem Investitionszulagengesetz 2007 besteht.</w:t>
      </w:r>
    </w:p>
    <w:p>
      <w:r>
        <w:rPr>
          <w:color w:val="555555"/>
          <w:sz w:val="17"/>
        </w:rPr>
        <w:t xml:space="preserve">Zitiervorschlag: § 5 InvZulG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https://recht.nulegal.eu/gesetze/InvZulG%202010/5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