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InvZulG 2010 — Investitionszeitraum</w:t>
      </w:r>
    </w:p>
    <w:p>
      <w:r>
        <w:rPr>
          <w:color w:val="555555"/>
          <w:sz w:val="18"/>
        </w:rPr>
        <w:t xml:space="preserve">Investitionszulagengesetz 2010</w:t>
      </w:r>
    </w:p>
    <w:p>
      <w:r>
        <w:rPr>
          <w:color w:val="555555"/>
          <w:sz w:val="18"/>
        </w:rPr>
        <w:t xml:space="preserve">Stand: 10.06.2019 (konsolidierte Textfassung, kein amtliches Inkrafttretensdatum)</w:t>
      </w:r>
    </w:p>
    <w:p>
      <w:r>
        <w:t xml:space="preserve">(1) Investitionen sind begünstigt, wenn sie zu einem Erstinvestitionsvorhaben im Sinne des § 2 Abs. 3 gehören, mit dem der Anspruchsberechtigte entweder</w:t>
      </w:r>
    </w:p>
    <w:p>
      <w:pPr>
        <w:ind w:left="420"/>
      </w:pPr>
      <w:r>
        <w:t xml:space="preserve">1. vor dem 1. Januar 2010,</w:t>
      </w:r>
    </w:p>
    <w:p>
      <w:pPr>
        <w:ind w:left="420"/>
      </w:pPr>
      <w:r>
        <w:t xml:space="preserve">2. nach dem 31. Dezember 2009 und vor dem 1. Januar 2011,</w:t>
      </w:r>
    </w:p>
    <w:p>
      <w:pPr>
        <w:ind w:left="420"/>
      </w:pPr>
      <w:r>
        <w:t xml:space="preserve">3. nach dem 31. Dezember 2010 und vor dem 1. Januar 2012,</w:t>
      </w:r>
    </w:p>
    <w:p>
      <w:pPr>
        <w:ind w:left="420"/>
      </w:pPr>
      <w:r>
        <w:t xml:space="preserve">4. nach dem 31. Dezember 2011 und vor dem 1. Januar 2013 oder</w:t>
      </w:r>
    </w:p>
    <w:p>
      <w:pPr>
        <w:ind w:left="420"/>
      </w:pPr>
      <w:r>
        <w:t xml:space="preserve">5. nach dem 31. Dezember 2012 und vor dem 1. Januar 2014</w:t>
      </w:r>
    </w:p>
    <w:p>
      <w:r>
        <w:t xml:space="preserve">begonnen hat und die einzelne begünstigte Investition nach dem 31. Dezember 2009 und vor dem 1. Januar 2014 abgeschlossen wird oder nach dem 31. Dezember 2013 abgeschlossen wird, soweit vor dem 1. Januar 2014 Teilherstellungskosten entstanden oder im Fall der Anschaffung Teillieferungen erfolgt sind.</w:t>
      </w:r>
    </w:p>
    <w:p>
      <w:r>
        <w:t xml:space="preserve">(2) Ein Erstinvestitionsvorhaben ist begonnen, wenn mit der ersten hierzu gehörenden Einzelinvestition begonnen worden ist. Außer in den Fällen des § 2 Abs. 3 Nr. 5 ist der Grundstückserwerb nicht als Investitionsbeginn anzusehen. Die Investition ist in dem Zeitpunkt begonnen, in dem das Wirtschaftsgut bestellt oder mit seiner Herstellung begonnen worden ist. Gebäude gelten in dem Zeitpunkt als bestellt, in dem über ihre Anschaffung ein rechtswirksam abgeschlossener obligatorischer Vertrag oder ein gleichstehender Rechtsakt vorliegt. Als Beginn der Herstellung gilt bei Gebäuden der Abschluss eines der Ausführung zuzurechnenden Lieferungs- oder Leistungsvertrages oder die Aufnahme von Bauarbeiten. Investitionen sind in dem Zeitpunkt abgeschlossen, in dem die Wirtschaftsgüter angeschafft oder hergestellt sind.</w:t>
      </w:r>
    </w:p>
    <w:p>
      <w:r>
        <w:rPr>
          <w:color w:val="555555"/>
          <w:sz w:val="17"/>
        </w:rPr>
        <w:t xml:space="preserve">Zitiervorschlag: § 4 InvZulG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