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InvZulG 2010 — Verfolgung von Straftaten</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Für die Verfolgung einer Straftat nach den §§ 263 und 264 des Strafgesetzbuches,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15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