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InvZulG 2010 — Anwendung der Abgabenordnung</w:t>
      </w:r>
    </w:p>
    <w:p>
      <w:r>
        <w:rPr>
          <w:color w:val="555555"/>
          <w:sz w:val="18"/>
        </w:rPr>
        <w:t xml:space="preserve">Investitionszulagengesetz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Steuervergütungen geltenden Vorschriften der Abgabenordnung sind mit Ausnahme des § 163 entsprechend anzuwenden. In öffentlich-rechtlichen Streitigkeiten über die auf Grund dieses Gesetzes ergehenden Verwaltungsakte der Finanzbehörden ist der Finanzrechtsweg gegeben.</w:t>
      </w:r>
    </w:p>
    <w:p>
      <w:r>
        <w:rPr>
          <w:color w:val="555555"/>
          <w:sz w:val="17"/>
        </w:rPr>
        <w:t xml:space="preserve">Zitiervorschlag: § 14 InvZulG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https://recht.nulegal.eu/gesetze/InvZulG%202010/14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