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InvZulG 2007 — (zu § 2 Abs. 1 Satz 3)</w:t>
      </w:r>
    </w:p>
    <w:p>
      <w:r>
        <w:rPr>
          <w:color w:val="555555"/>
          <w:sz w:val="18"/>
        </w:rPr>
        <w:t xml:space="preserve">Investitionszulagengesetz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2007, 287</w:t>
      </w:r>
    </w:p>
    <w:p>
      <w:r>
        <w:t xml:space="preserve">Sensible Sektoren sind:</w:t>
      </w:r>
    </w:p>
    <w:p>
      <w:pPr>
        <w:ind w:left="420"/>
      </w:pPr>
      <w:r>
        <w:t xml:space="preserve">1. Stahlindustrie (Multisektoraler Regionalbeihilferahmen vom 13. Februar 2002 in Verbindung mit Anhang B sowie Leitlinien für staatliche Beihilfen mit regionaler Zielsetzung 2007 - 2013 in Verbindung mit Anhang I),</w:t>
      </w:r>
    </w:p>
    <w:p>
      <w:pPr>
        <w:ind w:left="420"/>
      </w:pPr>
      <w:r>
        <w:t xml:space="preserve">2. Schiffbau (Mitteilung der Kommission „Rahmenbestimmungen für Beihilfen an den Schiffbau“ (ABl. EU 2003 Nr. C 317 S. 11, 2004 Nr. C 104 S. 71)),</w:t>
      </w:r>
    </w:p>
    <w:p>
      <w:pPr>
        <w:ind w:left="420"/>
      </w:pPr>
      <w:r>
        <w:t xml:space="preserve">3. Kraftfahrzeug-Industrie (Multisektoraler Regionalbeihilferahmen vom 13. Februar 2002 in Verbindung mit Anhang C),</w:t>
      </w:r>
    </w:p>
    <w:p>
      <w:pPr>
        <w:ind w:left="420"/>
      </w:pPr>
      <w:r>
        <w:t xml:space="preserve">4. Kunstfaserindustrie (Multisektoraler Regionalbeihilferahmen vom 13. Februar 2002 in Verbindung mit Anhang D sowie Leitlinien für staatliche Beihilfen mit regionaler Zielsetzung 2007 - 2013 in Verbindung mit Anhang II),</w:t>
      </w:r>
    </w:p>
    <w:p>
      <w:pPr>
        <w:ind w:left="420"/>
      </w:pPr>
      <w:r>
        <w:t xml:space="preserve">5. Landwirtschaftssektor (Mitteilung der Kommission „Gemeinschaftsrahmen für staatliche Beihilfen im Agrarsektor“ (ABl. EG 2000 Nr. C 28 S. 2, Nr. C 232 S. 17)),</w:t>
      </w:r>
    </w:p>
    <w:p>
      <w:pPr>
        <w:ind w:left="420"/>
      </w:pPr>
      <w:r>
        <w:t xml:space="preserve">6. Fischerei- und Aquakultursektor (Leitlinien für die Prüfung der einzelstaatlichen Beihilfen im Fischerei- und Aquakultursektor (ABl. EG 2001 Nr. C 19 S. 7)) und</w:t>
      </w:r>
    </w:p>
    <w:p>
      <w:pPr>
        <w:ind w:left="420"/>
      </w:pPr>
      <w:r>
        <w:t xml:space="preserve">7. Verkehrssektor (Verordnung (EWG) Nr. 1107/70 des Rates vom 4. Juni 1970 über Beihilfen im Eisenbahn-, Straßen- und Binnenschiffsverkehr (ABl. EG Nr. L 130 S. 1) in der am 1. Januar 2006 geltenden Fassung sowie Mitteilung der Kommission „Leitlinien der Gemeinschaft für staatliche Beihilfen im Seeverkehr“ (ABl. EU 2004 Nr. C 13 S. 3) und Anwendung der Artikel 92 und 93 des EG-Vertrages sowie des Artikels 61 des EWR-Abkommens auf staatliche Beihilfen im Luftverkehr (ABl. EG Nr. C 350 S. 5) vom 10. Dezember 1994).</w:t>
      </w:r>
    </w:p>
    <w:p>
      <w:r>
        <w:rPr>
          <w:color w:val="555555"/>
          <w:sz w:val="17"/>
        </w:rPr>
        <w:t xml:space="preserve">Zitiervorschlag: Anlage 2 InvZulG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https://recht.nulegal.eu/gesetze/InvZulG%202007/anlage-2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