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InvZulG 2007 — Investitionszeitraum</w:t>
      </w:r>
    </w:p>
    <w:p>
      <w:r>
        <w:rPr>
          <w:color w:val="555555"/>
          <w:sz w:val="18"/>
        </w:rPr>
        <w:t xml:space="preserve">Investitionszulagengesetz 2007</w:t>
      </w:r>
    </w:p>
    <w:p>
      <w:r>
        <w:rPr>
          <w:color w:val="555555"/>
          <w:sz w:val="18"/>
        </w:rPr>
        <w:t xml:space="preserve">Stand: 10.06.2019 (konsolidierte Textfassung, kein amtliches Inkrafttretensdatum)</w:t>
      </w:r>
    </w:p>
    <w:p>
      <w:r>
        <w:t xml:space="preserve">(1) Investitionen sind begünstigt, wenn sie zu einem Erstinvestitionsvorhaben im Sinne des § 2 Abs. 3 gehören, mit dem der Anspruchsberechtigte</w:t>
      </w:r>
    </w:p>
    <w:p>
      <w:pPr>
        <w:ind w:left="420"/>
      </w:pPr>
      <w:r>
        <w:t xml:space="preserve">1. in der Zeit vom 21. Juli 2006 bis zum 31. Dezember 2006,</w:t>
      </w:r>
    </w:p>
    <w:p>
      <w:pPr>
        <w:ind w:left="420"/>
      </w:pPr>
      <w:r>
        <w:t xml:space="preserve">2. in der Zeit vom 1. Januar 2007 bis 31. Dezember 2009</w:t>
      </w:r>
    </w:p>
    <w:p>
      <w:r>
        <w:t xml:space="preserve">begonnen hat und die begünstigte Investition nach dem 31. Dezember 2006 und vor dem 1. Januar 2010 abgeschlossen wird oder nach dem 31. Dezember 2009 abgeschlossen wird, soweit vor dem 1. Januar 2010 Teilherstellungskosten entstanden oder im Fall der Anschaffung Teillieferungen erfolgt sind. Für ein Erstinvestitionsvorhaben, mit dem der Anspruchsberechtigte vor dem 21. Juli 2006 begonnen hat, gilt Satz 1 auch dann, wenn hierfür</w:t>
      </w:r>
    </w:p>
    <w:p>
      <w:pPr>
        <w:ind w:left="420"/>
      </w:pPr>
      <w:r>
        <w:t xml:space="preserve">1. eine Genehmigungsentscheidung der Kommission vor Festsetzung der Investitionszulage erteilt worden ist, in der auf die Möglichkeit der Förderung durch Investitionszulage aufgrund einer Nachfolgeregelung ausdrücklich hingewiesen wurde, oder</w:t>
      </w:r>
    </w:p>
    <w:p>
      <w:pPr>
        <w:ind w:left="420"/>
      </w:pPr>
      <w:r>
        <w:t xml:space="preserve">2. ein Förderbescheid der zuständigen Bewilligungsbehörde für die Gewährung von Investitionszuschüssen im Rahmen der Gemeinschaftsaufgabe "Verbesserung der regionalen Wirtschaftsstruktur" (GA) vor dem 21. Juli 2006 erteilt worden ist, der den Gesamtbetrag der Förderung aus öffentlichen Mitteln und die Höhe des GA-Zuschusses unter Berücksichtigung einer erwarteten Investitionszulage aus einer Nachfolgeregelung zum Investitionszulagengesetz 2005 festsetzt, sowie eine Erhöhung des GA-Zuschusses insoweit vorsieht, als eine Investitionszulage nach diesem Gesetz nicht gewährt wird; in diesen Fällen darf die für das Erstinvestitionsvorhaben nach diesem Gesetz gewährte Investitionszulage den Nettosubventionswert des zugesicherten Erhöhungsbetrags des GA-Zuschusses nicht übersteigen. Der Nettosubventionswert ist nach Anhang I der Regionalleitlinien für staatliche Beihilfen mit regionaler Zielsetzung (ABl. EG 1998 Nr. C 74 S. 9) zu ermitteln.</w:t>
      </w:r>
    </w:p>
    <w:p>
      <w:r>
        <w:t xml:space="preserve">(2) Ein Erstinvestitionsvorhaben ist begonnen, wenn mit der ersten hierzu gehörenden Einzelinvestition begonnen worden ist. Außer in den Fällen des § 2 Abs. 3 Nr. 5 ist der Grundstückserwerb nicht als Investitionsbeginn anzusehen. Die Investition ist in dem Zeitpunkt begonnen, in dem das Wirtschaftsgut bestellt oder seine Herstellung begonnen worden ist. Gebäude gelten in dem Zeitpunkt als bestellt, in dem über ihre Anschaffung ein rechtswirksam abgeschlossener obligatorischer Vertrag oder ein gleichstehender Rechtsakt vorliegt. Als Beginn der Herstellung gilt bei Gebäuden der Abschluss eines der Ausführung zuzurechnenden Lieferungs- oder Leistungsvertrages oder die Aufnahme von Bauarbeiten. Investitionen sind in dem Zeitpunkt abgeschlossen, in dem die Wirtschaftsgüter angeschafft oder hergestellt sind.</w:t>
      </w:r>
    </w:p>
    <w:p>
      <w:r>
        <w:rPr>
          <w:color w:val="555555"/>
          <w:sz w:val="17"/>
        </w:rPr>
        <w:t xml:space="preserve">Zitiervorschlag: § 3 InvZulG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