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InvZulG 2007 — (Inkrafttreten)</w:t>
      </w:r>
    </w:p>
    <w:p>
      <w:r>
        <w:rPr>
          <w:color w:val="555555"/>
          <w:sz w:val="18"/>
        </w:rPr>
        <w:t xml:space="preserve">Investitionszulagengesetz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16 InvZulG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https://recht.nulegal.eu/gesetze/InvZulG%202007/16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