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InvZulG 2007 — Verfolgung von Straftaten</w:t>
      </w:r>
    </w:p>
    <w:p>
      <w:r>
        <w:rPr>
          <w:color w:val="555555"/>
          <w:sz w:val="18"/>
        </w:rPr>
        <w:t xml:space="preserve">Investitionszulagengesetz 2007</w:t>
      </w:r>
    </w:p>
    <w:p>
      <w:r>
        <w:rPr>
          <w:color w:val="555555"/>
          <w:sz w:val="18"/>
        </w:rPr>
        <w:t xml:space="preserve">Stand: 10.06.2019 (konsolidierte Textfassung, kein amtliches Inkrafttretensdatum)</w:t>
      </w:r>
    </w:p>
    <w:p>
      <w:r>
        <w:t xml:space="preserve">Für die Verfolgung einer Straftat nach den §§ 263 und 264 des Strafgesetzbuches, die sich auf die Investitionszulage bezieht, sowie der Begünstigung einer Person, die eine solche Straftat begangen hat, gelten die Vorschriften der Abgabenordnung über die Verfolgung von Steuerstraftaten entsprechend.</w:t>
      </w:r>
    </w:p>
    <w:p>
      <w:r>
        <w:rPr>
          <w:color w:val="555555"/>
          <w:sz w:val="17"/>
        </w:rPr>
        <w:t xml:space="preserve">Zitiervorschlag: § 14 InvZulG 2007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https://recht.nulegal.eu/gesetze/InvZulG%202007/14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