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InvZulG 2007 — Anwendung der Abgabenordnung</w:t>
      </w:r>
    </w:p>
    <w:p>
      <w:r>
        <w:rPr>
          <w:color w:val="555555"/>
          <w:sz w:val="18"/>
        </w:rPr>
        <w:t xml:space="preserve">Investitionszulagengesetz 2007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für Steuervergütungen geltenden Vorschriften der Abgabenordnung sind mit Ausnahme des § 163 entsprechend anzuwenden. In öffentlich-rechtlichen Streitigkeiten über die aufgrund dieses Gesetzes ergehenden Verwaltungsakte der Finanzbehörden ist der Finanzrechtsweg gegeben.</w:t>
      </w:r>
    </w:p>
    <w:p>
      <w:r>
        <w:rPr>
          <w:color w:val="555555"/>
          <w:sz w:val="17"/>
        </w:rPr>
        <w:t xml:space="preserve">Zitiervorschlag: § 13 InvZulG 2007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https://recht.nulegal.eu/gesetze/InvZulG%202007/13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