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InvZulG 2007 — Anspruchsberechtigter, Fördergebiet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Steuerpflichtige im Sinne des Einkommensteuergesetzes und des Körperschaftsteuergesetzes, die im Fördergebiet begünstigte Investitionen im Sinne des § 2 vornehmen, haben Anspruch auf eine Investitionszulage. Steuerpflichtige im Sinne des Körperschaftsteuergesetzes haben keinen Anspruch, soweit sie nach § 5 des Körperschaftsteuergesetzes von der Körperschaftsteuer befreit sind. Bei Personengesellschaften und Gemeinschaften tritt an die Stelle des Steuerpflichtigen die Gesellschaft oder die Gemeinschaft als Anspruchsberechtigte.</w:t>
      </w:r>
    </w:p>
    <w:p>
      <w:r>
        <w:t xml:space="preserve">(2) Fördergebiet sind die Länder Berlin, Brandenburg, Mecklenburg-Vorpommern, Sachsen, Sachsen-Anhalt und Thüringen. In den in der Anlage 1 zu diesem Gesetz aufgeführten Teilen des Landes Berlin ist dieses Gesetz nur anzuwenden bei Investitionen, die zu Erstinvestitionsvorhaben gehören, die der Anspruchsberechtigte vor dem 1. Januar 2007 begonnen hat.</w:t>
      </w:r>
    </w:p>
    <w:p>
      <w:r>
        <w:rPr>
          <w:color w:val="555555"/>
          <w:sz w:val="17"/>
        </w:rPr>
        <w:t xml:space="preserve">Zitiervorschlag: § 1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