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InvZulG 2005 — Anspruchsberechtigter, Fördergebiet</w:t>
      </w:r>
    </w:p>
    <w:p>
      <w:r>
        <w:rPr>
          <w:color w:val="555555"/>
          <w:sz w:val="18"/>
        </w:rPr>
        <w:t xml:space="preserve">Investitionszulagengesetz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 im Sinne des Einkommensteuergesetzes und des Körperschaftsteuergesetzes, die im Fördergebiet begünstigte Investitionen im Sinne des § 2 vornehmen, haben Anspruch auf eine Investitionszulage. Steuerpflichtige im Sinne des Körperschaftsteuergesetzes haben keinen Anspruch, soweit sie nach § 5 Abs. 1 Nr. 1 bis 9 und 11 bis 22 des Körperschaftsteuergesetzes von der Körperschaftsteuer befreit sind. Bei Personengesellschaften und Gemeinschaften tritt an die Stelle des Steuerpflichtigen die Gesellschaft oder die Gemeinschaft als Anspruchsberechtigte.</w:t>
      </w:r>
    </w:p>
    <w:p>
      <w:r>
        <w:t xml:space="preserve">(2) Fördergebiet sind die Länder Berlin, Brandenburg, Mecklenburg-Vorpommern, Sachsen, Sachsen-Anhalt und Thüringen nach dem Gebietsstand vom 3. Oktober 1990.</w:t>
      </w:r>
    </w:p>
    <w:p>
      <w:r>
        <w:rPr>
          <w:color w:val="555555"/>
          <w:sz w:val="17"/>
        </w:rPr>
        <w:t xml:space="preserve">Zitiervorschlag: § 1 InvZulG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