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InvZulG 1999 — Modernisierungsmaßnahmen an Mietwohngebäuden sowie Mietwohnungsneubau im innerörtlichen Bereich</w:t>
      </w:r>
    </w:p>
    <w:p>
      <w:r>
        <w:rPr>
          <w:color w:val="555555"/>
          <w:sz w:val="18"/>
        </w:rPr>
        <w:t xml:space="preserve">Investitionszulagengesetz 1999</w:t>
      </w:r>
    </w:p>
    <w:p>
      <w:r>
        <w:rPr>
          <w:color w:val="555555"/>
          <w:sz w:val="18"/>
        </w:rPr>
        <w:t xml:space="preserve">Stand: 10.06.2019 (konsolidierte Textfassung, kein amtliches Inkrafttretensdatum)</w:t>
      </w:r>
    </w:p>
    <w:p>
      <w:r>
        <w:t xml:space="preserve">(1) Begünstigte Investitionen sind:</w:t>
      </w:r>
    </w:p>
    <w:p>
      <w:pPr>
        <w:ind w:left="420"/>
      </w:pPr>
      <w:r>
        <w:t xml:space="preserve">1. nachträgliche Herstellungsarbeiten an Gebäuden, die vor dem 1. Januar 1991 fertig gestellt worden sind,</w:t>
      </w:r>
    </w:p>
    <w:p>
      <w:pPr>
        <w:ind w:left="420"/>
      </w:pPr>
      <w:r>
        <w:t xml:space="preserve">2. die Anschaffung von Gebäuden, die vor dem 1. Januar 1991 fertig gestellt worden sind, soweit nachträgliche Herstellungsarbeiten nach dem rechtswirksamen Abschluss des obligatorischen Vertrags oder gleichstehenden Rechtsakts durchgeführt worden sind, und</w:t>
      </w:r>
    </w:p>
    <w:p>
      <w:pPr>
        <w:ind w:left="420"/>
      </w:pPr>
      <w:r>
        <w:t xml:space="preserve">3. Erhaltungsarbeiten an Gebäuden, die vor dem 1. Januar 1991 fertig gestellt worden sind,</w:t>
      </w:r>
    </w:p>
    <w:p>
      <w:r>
        <w:t xml:space="preserve">soweit die Gebäude mindestens fünf Jahre nach Beendigung der nachträglichen Herstellungsarbeiten oder der Erhaltungsarbeiten der entgeltlichen Überlassung zu Wohnzwecken dienen,</w:t>
      </w:r>
    </w:p>
    <w:p>
      <w:pPr>
        <w:ind w:left="420"/>
      </w:pPr>
      <w:r>
        <w:t xml:space="preserve">4. die Anschaffung neuer Gebäude bis zum Ende des Jahres der Fertigstellung und die Herstellung neuer Gebäude,</w:t>
      </w:r>
    </w:p>
    <w:p>
      <w:pPr>
        <w:ind w:left="780"/>
      </w:pPr>
      <w:r>
        <w:t xml:space="preserve">a) soweit die Gebäude mindestens fünf Jahre nach ihrer Anschaffung oder Herstellung der entgeltlichen Überlassung zu Wohnzwecken dienen und</w:t>
      </w:r>
    </w:p>
    <w:p>
      <w:pPr>
        <w:ind w:left="780"/>
      </w:pPr>
      <w:r>
        <w:t xml:space="preserve">b) wenn der Anspruchsberechtigte durch eine Bescheinigung der zuständigen Gemeindebehörde nachweist, dass das Gebäude im Zeitpunkt der Anschaffung oder Herstellung in einem förmlich festgelegten Sanierungsgebiet nach dem Baugesetzbuch, einem förmlich festgelegten Erhaltungssatzungsgebiet nach § 172 Abs. 1 Satz 1 Nr. 1 des Baugesetzbuchs oder in einem Gebiet liegt, das durch Bebauungsplan als Kerngebiet im Sinne des § 7 der Baunutzungsverordnung festgesetzt ist oder das auf Grund der Bebauung der näheren Umgebung diesem Gebiet entspricht.</w:t>
      </w:r>
    </w:p>
    <w:p>
      <w:r>
        <w:t xml:space="preserve">Satz 1 Nr. 1 und 2 kann nur angewendet werden, wenn der Anspruchsberechtigte und im Veräußerungsfall der Erwerber für die Herstellungsarbeiten keine erhöhten Absetzungen in Anspruch nimmt. Im Fall der Anschaffung kann Satz 1 nur angewendet werden, wenn kein anderer Anspruchsberechtigter für das Gebäude Investitionszulage in Anspruch nimmt. Im Fall nachträglicher Herstellungsarbeiten im Sinne von Satz 1 Nr. 1 und 2 sowie im Fall der Herstellung im Sinne von Satz 1 Nr. 4 kann Satz 1 nur angewendet werden, soweit im Veräußerungsfall der Erwerber für das Gebäude keine Sonderabschreibungen in Anspruch nimmt.</w:t>
      </w:r>
    </w:p>
    <w:p>
      <w:r>
        <w:t xml:space="preserve">(2) Die Investitionen sind begünstigt, wenn sie der Anspruchsberechtigte nach dem 31. Dezember 1998 und</w:t>
      </w:r>
    </w:p>
    <w:p>
      <w:pPr>
        <w:ind w:left="420"/>
      </w:pPr>
      <w:r>
        <w:t xml:space="preserve">1. bei Investitionen im Sinne des Absatzes 1 Nr. 1 bis 3 vor dem 1. Januar 2005,</w:t>
      </w:r>
    </w:p>
    <w:p>
      <w:pPr>
        <w:ind w:left="420"/>
      </w:pPr>
      <w:r>
        <w:t xml:space="preserve">2. bei Investitionen im Sinne des Absatzes 1 Nr. 4 vor dem 1. Januar 2002</w:t>
      </w:r>
    </w:p>
    <w:p>
      <w:r>
        <w:t xml:space="preserve">abschließt. Investitionen im Sinne des Absatzes 1 Nr. 1 bis 3 sind in dem Zeitpunkt abgeschlossen, in dem die nachträglichen Herstellungsarbeiten oder die Erhaltungsarbeiten beendet worden sind. Investitionen im Sinne des Absatzes 1 Nr. 4 sind in dem Zeitpunkt abgeschlossen, in dem die Gebäude angeschafft oder hergestellt worden sind.</w:t>
      </w:r>
    </w:p>
    <w:p>
      <w:r>
        <w:t xml:space="preserve">(3) Bemessungsgrundlage für die Investitionszulage ist die den Betrag von 2.556 Euro übersteigende Summe der Anschaffungs- und Herstellungskosten und Erhaltungsaufwendungen der im Kalenderjahr abgeschlossenen begünstigten Investitionen, soweit sie die vor dem 1. Januar 1999 geleisteten Anzahlungen auf Anschaffungskosten, Anzahlungen auf Erhaltungsaufwendungen und entstandenen Teilherstellungskosten übersteigen. Zur Bemessungsgrundlage gehören jedoch nicht</w:t>
      </w:r>
    </w:p>
    <w:p>
      <w:pPr>
        <w:ind w:left="420"/>
      </w:pPr>
      <w:r>
        <w:t xml:space="preserve">1. bei Investitionen im Sinne des Absatzes 1 Nr. 1 und 3 die nachträglichen Herstellungskosten und die Erhaltungsaufwendungen, soweit sie insgesamt in den Jahren 1999 bis 2004 614 Euro je Quadratmeter Wohnfläche übersteigen. Bei Investitionen im Sinne des Absatzes 1, die der Anspruchsberechtigte nach dem 31. Dezember 2001 begonnen hat oder bei denen er das Objekt im Fall der Anschaffung auf Grund eines nach dem 31. Dezember 2001 rechtswirksam abgeschlossenen obligatorischen Vertrags oder gleichstehenden Rechtsakts angeschafft hat, gehören die nachträglichen Herstellungskosten und die Erhaltungsaufwendungen nur zur Bemessungsgrundlage, soweit sie insgesamt in den Jahren 2002 bis 2004 50 Euro je Quadratmeter Wohnfläche überschreiten. In den zuletzt genannten Fällen ist der Betrag von 2.556 Euro nicht zu berücksichtigen. Betreffen nachträgliche Herstellungsarbeiten oder Erhaltungsarbeiten mehrere Gebäudeteile, die selbständige unbewegliche Wirtschaftsgüter sind, sind die nachträglichen Herstellungskosten und Erhaltungsaufwendungen nach dem Verhältnis der Nutzflächen auf die Gebäudeteile aufzuteilen, soweit eine unmittelbare Zuordnung nicht möglich ist. Bei Investitionen im Sinne des Absatzes 1 Nr. 2 gelten die Sätze 1 bis 4 mit der Maßgabe entsprechend, dass an die Stelle der nachträglichen Herstellungskosten die Anschaffungskosten treten, die auf nachträgliche Herstellungsarbeiten im Sinne des Absatzes 1 Nr. 2 entfallen;</w:t>
      </w:r>
    </w:p>
    <w:p>
      <w:pPr>
        <w:ind w:left="420"/>
      </w:pPr>
      <w:r>
        <w:t xml:space="preserve">2. bei Investitionen im Sinne des Absatzes 1 Nr. 4 die Anschaffungs- oder Herstellungskosten, soweit sie 2.045 Euro je Quadratmeter Wohnfläche des Gebäudes übersteigen.</w:t>
      </w:r>
    </w:p>
    <w:p>
      <w:r>
        <w:t xml:space="preserve">§ 2 Abs. 5 Satz 2 bis 4 gilt entsprechend. In die Bemessungsgrundlage können die im Kalenderjahr geleisteten Anzahlungen auf Erhaltungsaufwendungen einbezogen werden. Als Beginn der nachträglichen Herstellungsarbeiten oder Erhaltungsarbeiten gilt bei Baumaßnahmen, für die eine Baugenehmigung erforderlich ist, der Zeitpunkt, in dem der Bauantrag gestellt wird; bei baugenehmigungsfreien Bauvorhaben, für die Bauunterlagen einzureichen sind, der Zeitpunkt, in dem die Bauunterlagen eingereicht werden.</w:t>
      </w:r>
    </w:p>
    <w:p>
      <w:r>
        <w:t xml:space="preserve">(4) Die Investitionszulage beträgt</w:t>
      </w:r>
    </w:p>
    <w:p>
      <w:pPr>
        <w:ind w:left="420"/>
      </w:pPr>
      <w:r>
        <w:t xml:space="preserve">1. 15 vom Hundert für den Teil der Bemessungsgrundlage, der auf Investitionen im Sinne des Absatzes 1 Nr. 1 bis 3 entfällt, und</w:t>
      </w:r>
    </w:p>
    <w:p>
      <w:pPr>
        <w:ind w:left="420"/>
      </w:pPr>
      <w:r>
        <w:t xml:space="preserve">2. 10 vom Hundert für den Teil der Bemessungsgrundlage, der auf Investitionen im Sinne des Absatzes 1 Nr. 4 entfällt.</w:t>
      </w:r>
    </w:p>
    <w:p>
      <w:r>
        <w:rPr>
          <w:color w:val="555555"/>
          <w:sz w:val="17"/>
        </w:rPr>
        <w:t xml:space="preserve">Zitiervorschlag: § 3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