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InvZulG 1999 — Ermächtigung</w:t>
      </w:r>
    </w:p>
    <w:p>
      <w:r>
        <w:rPr>
          <w:color w:val="555555"/>
          <w:sz w:val="18"/>
        </w:rPr>
        <w:t xml:space="preserve">Investitionszulagengesetz 1999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der Finanzen wird ermächtigt, den Wortlaut dieses Gesetzes in der jeweils geltenden Fassung mit neuem Datum bekannt zu machen.</w:t>
      </w:r>
    </w:p>
    <w:p>
      <w:r>
        <w:rPr>
          <w:color w:val="555555"/>
          <w:sz w:val="17"/>
        </w:rPr>
        <w:t xml:space="preserve">Zitiervorschlag: § 11 InvZulG 1999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https://recht.nulegal.eu/gesetze/InvZulG%201999/11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