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InvZulG 1999 — Anspruchsberechtigter, Fördergebiet</w:t>
      </w:r>
    </w:p>
    <w:p>
      <w:r>
        <w:rPr>
          <w:color w:val="555555"/>
          <w:sz w:val="18"/>
        </w:rPr>
        <w:t xml:space="preserve">Investitionszulagengesetz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Steuerpflichtige im Sinne des Einkommensteuergesetzes und des Körperschaftsteuergesetzes, die im Fördergebiet begünstigte Investitionen im Sinne der §§ 2 bis 4 vornehmen, haben Anspruch auf eine Investitionszulage, soweit sie nicht nach § 5 Abs. 1 Nr. 1 bis 9 und 11 bis 22 des Körperschaftsteuergesetzes von der Körperschaftsteuer befreit sind. Bei Personengesellschaften und Gemeinschaften, die begünstigte Investitionen im Sinne der §§ 2 bis 3a vornehmen, tritt an die Stelle des Steuerpflichtigen die Gesellschaft oder die Gemeinschaft als Anspruchsberechtigte.</w:t>
      </w:r>
    </w:p>
    <w:p>
      <w:r>
        <w:t xml:space="preserve">(2) Fördergebiet sind die Länder Berlin, Brandenburg, Mecklenburg-Vorpommern, Sachsen, Sachsen-Anhalt und Thüringen nach dem Gebietsstand vom 3. Oktober 1990. Bei Investitionen im Sinne der §§ 3 bis 4 gehört zum Fördergebiet nicht der Teil des Landes Berlin, in dem das Grundgesetz vor dem 3. Oktober 1990 gegolten hat.</w:t>
      </w:r>
    </w:p>
    <w:p>
      <w:r>
        <w:rPr>
          <w:color w:val="555555"/>
          <w:sz w:val="17"/>
        </w:rPr>
        <w:t xml:space="preserve">Zitiervorschlag: § 1 InvZulG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https://recht.nulegal.eu/gesetze/InvZulG%201999/1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