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InvZulG 1991 — Verzinsung des Rückforderungsanspruchs</w:t>
      </w:r>
    </w:p>
    <w:p>
      <w:r>
        <w:rPr>
          <w:color w:val="555555"/>
          <w:sz w:val="18"/>
        </w:rPr>
        <w:t xml:space="preserve">Investitionszulagengesetz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Bescheid über die Investitionszulage aufgehoben oder zuungunsten des Anspruchsberechtigten geändert worden, so ist der Rückzahlungsanspruch nach § 238 der Abgabenordnung vom Tag der Auszahlung der Investitionszulage, in den Fällen des § 175 Abs. 1 Satz 1 Nr. 2 der Abgabenordnung vom Tag des Eintritts des rückwirkenden Ereignisses an, zu verzinsen. Die Festsetzungsfrist beginnt mit Ablauf des Kalenderjahrs, in dem der Bescheid aufgehoben oder geändert worden ist.</w:t>
      </w:r>
    </w:p>
    <w:p>
      <w:r>
        <w:rPr>
          <w:color w:val="555555"/>
          <w:sz w:val="17"/>
        </w:rPr>
        <w:t xml:space="preserve">Zitiervorschlag: § 8 InvZulG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