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InvZulG 1991 — Art der Investitionen</w:t>
      </w:r>
    </w:p>
    <w:p>
      <w:r>
        <w:rPr>
          <w:color w:val="555555"/>
          <w:sz w:val="18"/>
        </w:rPr>
        <w:t xml:space="preserve">Investitionszulagengesetz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Begünstigte Investitionen sind die Anschaffung und die Herstellung von neuen abnutzbaren beweglichen Wirtschaftsgütern des Anlagevermögens, die mindestens 3 Jahre nach ihrer Anschaffung oder Herstellung</w:t>
      </w:r>
    </w:p>
    <w:p>
      <w:pPr>
        <w:ind w:left="420"/>
      </w:pPr>
      <w:r>
        <w:t xml:space="preserve">1. zum Anlagevermögen eines Betriebs oder einer Betriebsstätte im Fördergebiet gehören,</w:t>
      </w:r>
    </w:p>
    <w:p>
      <w:pPr>
        <w:ind w:left="420"/>
      </w:pPr>
      <w:r>
        <w:t xml:space="preserve">2. in einer Betriebsstätte im Fördergebiet verbleiben und</w:t>
      </w:r>
    </w:p>
    <w:p>
      <w:pPr>
        <w:ind w:left="420"/>
      </w:pPr>
      <w:r>
        <w:t xml:space="preserve">3. in jedem Jahr zu nicht mehr als 10 vom Hundert privat genutzt werden.</w:t>
      </w:r>
    </w:p>
    <w:p>
      <w:r>
        <w:t xml:space="preserve">Nicht begünstigt sind</w:t>
      </w:r>
    </w:p>
    <w:p>
      <w:pPr>
        <w:ind w:left="420"/>
      </w:pPr>
      <w:r>
        <w:t xml:space="preserve">1. geringwertige Wirtschaftsgüter im Sinne des § 6 Abs. 2 des Einkommensteuergesetzes,</w:t>
      </w:r>
    </w:p>
    <w:p>
      <w:pPr>
        <w:ind w:left="420"/>
      </w:pPr>
      <w:r>
        <w:t xml:space="preserve">2. Luftfahrzeuge, die der Anspruchsberechtigte vor dem 5. Juli 1990 oder nach dem 31. Oktober 1990 bestellt oder herzustellen begonnen hat,</w:t>
      </w:r>
    </w:p>
    <w:p>
      <w:pPr>
        <w:ind w:left="420"/>
      </w:pPr>
      <w:r>
        <w:t xml:space="preserve">3. Personenkraftwagen und</w:t>
      </w:r>
    </w:p>
    <w:p>
      <w:pPr>
        <w:ind w:left="420"/>
      </w:pPr>
      <w:r>
        <w:t xml:space="preserve">4. Wirtschaftsgüter, die der Anspruchsberechtigte nach dem 2. September 1998 angeschafft oder hergestellt hat und die in Nummer 1.2 zweiter oder dritter Gedankenstrich oder in Nummer 2 des Anhangs der Entscheidung der Europäischen Kommission 94/173/EG vom 22. März 1994 zur Festlegung der Auswahlkriterien für Investitionen zur Verbesserung der Verarbeitungs- und Vermarktungsbedingungen für land- und forstwirtschaftliche Erzeugnisse und zur Aufhebung der Entscheidung 90/342/EWG - ABl. EG Nr. L 79 S. 29 - (Land- und Forstwirtschaftsentscheidung) genannt sind.</w:t>
      </w:r>
    </w:p>
    <w:p>
      <w:r>
        <w:rPr>
          <w:color w:val="555555"/>
          <w:sz w:val="17"/>
        </w:rPr>
        <w:t xml:space="preserve">Zitiervorschlag: § 2 InvZulG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