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InvZulG 1991 — Ertragsteuerliche Behandlung der Investitionszulage</w:t>
      </w:r>
    </w:p>
    <w:p>
      <w:r>
        <w:rPr>
          <w:color w:val="555555"/>
          <w:sz w:val="18"/>
        </w:rPr>
        <w:t xml:space="preserve">Investitionszulagengesetz 1996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Investitionszulage gehört nicht zu den Einkünften im Sinne des Einkommensteuergesetzes. Sie mindert nicht die steuerlichen Anschaffungs- und Herstellungskosten.</w:t>
      </w:r>
    </w:p>
    <w:p>
      <w:r>
        <w:rPr>
          <w:color w:val="555555"/>
          <w:sz w:val="17"/>
        </w:rPr>
        <w:t xml:space="preserve">Zitiervorschlag: § 10 InvZulG 1991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https://recht.nulegal.eu/gesetze/InvZulG%201991/10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