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InvZulBerG — Inkrafttreten</w:t>
      </w:r>
    </w:p>
    <w:p>
      <w:r>
        <w:rPr>
          <w:color w:val="555555"/>
          <w:sz w:val="18"/>
        </w:rPr>
        <w:t xml:space="preserve">Gesetz über die berechnungsrechtliche Behandlung von Investitionszulagen im preisgebundenen Wohnungsbau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3 InvZulBerG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https://recht.nulegal.eu/gesetze/InvZulBerG/3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