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InvUmlBV (Brandenburg) — Übergangsregelung</w:t>
      </w:r>
    </w:p>
    <w:p>
      <w:r>
        <w:rPr>
          <w:color w:val="555555"/>
          <w:sz w:val="18"/>
        </w:rPr>
        <w:t xml:space="preserve">Investitionsumlage-Berechnungsverordnung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Aufwendungen, die im Rahmen der Sozialhilfe oder der</w:t>
      </w:r>
    </w:p>
    <w:p>
      <w:r>
        <w:t xml:space="preserve">Übergangsregelung nach Artikel 49a des Pflege-Versicherungsgesetzes</w:t>
      </w:r>
    </w:p>
    <w:p>
      <w:r>
        <w:t xml:space="preserve">abgegolten sind, dürfen nicht mehr angesetzt werden. Dies gilt</w:t>
      </w:r>
    </w:p>
    <w:p>
      <w:r>
        <w:t xml:space="preserve">insbesondere für Pflegeeinrichtungen, die vor der öffentlichen</w:t>
      </w:r>
    </w:p>
    <w:p>
      <w:r>
        <w:t xml:space="preserve">Förderung Gelder aus der Sozialhilfe für Instandhaltung und</w:t>
      </w:r>
    </w:p>
    <w:p>
      <w:r>
        <w:t xml:space="preserve">Instandsetzung erhalten haben und diese Gelder bisher nicht zweckentsprechend</w:t>
      </w:r>
    </w:p>
    <w:p>
      <w:r>
        <w:t xml:space="preserve">verwendet haben. Eine Umlage ist erst zulässig, wenn Beträge in</w:t>
      </w:r>
    </w:p>
    <w:p>
      <w:r>
        <w:t xml:space="preserve">Höhe der erhaltenen Gelder zweckentsprechend verwendet wurden, es sei</w:t>
      </w:r>
    </w:p>
    <w:p>
      <w:r>
        <w:t xml:space="preserve">denn, der Träger führt diese der auf Grund des § 2 Abs. 2 der</w:t>
      </w:r>
    </w:p>
    <w:p>
      <w:r>
        <w:t xml:space="preserve">Investitionsumlage-Berechnungsverordnung vom 14. April 1998 (GVBl. II S. 358)</w:t>
      </w:r>
    </w:p>
    <w:p>
      <w:r>
        <w:t xml:space="preserve">gebildeten Wiederbeschaffungsrücklage zu.</w:t>
      </w:r>
    </w:p>
    <w:p>
      <w:r>
        <w:t xml:space="preserve">(2) Aufwendungen für die Wiederbeschaffung kurz- und</w:t>
      </w:r>
    </w:p>
    <w:p>
      <w:r>
        <w:t xml:space="preserve">mittelfristiger Anlagegüter (Abschreibungen) sind erst umlagefähig,</w:t>
      </w:r>
    </w:p>
    <w:p>
      <w:r>
        <w:t xml:space="preserve">wenn die auf Grund des § 2 Abs. 2 der</w:t>
      </w:r>
    </w:p>
    <w:p>
      <w:r>
        <w:t xml:space="preserve">Investitionsumlage-Berechnungsverordnung vom 14. April 1998 (GVBl. II S. 358)</w:t>
      </w:r>
    </w:p>
    <w:p>
      <w:r>
        <w:t xml:space="preserve">gebildete zweckgebundene Wiederbeschaffungsrücklage entsprechend ihres</w:t>
      </w:r>
    </w:p>
    <w:p>
      <w:r>
        <w:t xml:space="preserve">Verwendungszwecks vollständig verwendet wurde. Soweit Mittel der</w:t>
      </w:r>
    </w:p>
    <w:p>
      <w:r>
        <w:t xml:space="preserve">Wiederbeschaffungsrücklage verwendet werden, kommt eine Verzinsung nach</w:t>
      </w:r>
    </w:p>
    <w:p>
      <w:r>
        <w:t xml:space="preserve">§ 3 Abs. 2 nicht in Betracht.</w:t>
      </w:r>
    </w:p>
    <w:p>
      <w:r>
        <w:rPr>
          <w:color w:val="555555"/>
          <w:sz w:val="17"/>
        </w:rPr>
        <w:t xml:space="preserve">Zitiervorschlag: § 9 InvUmlBV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https://recht.nulegal.eu/gesetze/InvUmlBV/9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