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InvUmlBV (Brandenburg) — Verfahren</w:t>
      </w:r>
    </w:p>
    <w:p>
      <w:r>
        <w:rPr>
          <w:color w:val="555555"/>
          <w:sz w:val="18"/>
        </w:rPr>
        <w:t xml:space="preserve">Investitionsumlage-Berechnungsverordnung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Dem Antrag auf Zustimmung der nach § 8 Abs. 2 des</w:t>
      </w:r>
    </w:p>
    <w:p>
      <w:r>
        <w:t xml:space="preserve">Landespflegegesetzes zuständigen Behörde sind folgende Unterlagen</w:t>
      </w:r>
    </w:p>
    <w:p>
      <w:r>
        <w:t xml:space="preserve">beizufügen:</w:t>
      </w:r>
    </w:p>
    <w:p>
      <w:r>
        <w:t xml:space="preserve">ausgefülltes Berechnungsformular der für die Zustimmung</w:t>
      </w:r>
    </w:p>
    <w:p>
      <w:r>
        <w:t xml:space="preserve">zuständigen Behörde,</w:t>
      </w:r>
    </w:p>
    <w:p>
      <w:r>
        <w:t xml:space="preserve">Anlagen 3a und 3b zum Jahresabschluss,</w:t>
      </w:r>
    </w:p>
    <w:p>
      <w:r>
        <w:t xml:space="preserve">Darlehensverträge mit aktuellen Zahlungsplänen,</w:t>
      </w:r>
    </w:p>
    <w:p>
      <w:r>
        <w:t xml:space="preserve">gegebenenfalls Miet-, Pacht- und Nutzungsverträge, wenn die</w:t>
      </w:r>
    </w:p>
    <w:p>
      <w:r>
        <w:t xml:space="preserve">Einrichtung oder Anlagegüter nicht im Eigentum des Antragstellers stehen</w:t>
      </w:r>
    </w:p>
    <w:p>
      <w:r>
        <w:t xml:space="preserve">und</w:t>
      </w:r>
    </w:p>
    <w:p>
      <w:r>
        <w:t xml:space="preserve">sonstige Unterlagen, die notwendig sind, um die Berechnung nach den in</w:t>
      </w:r>
    </w:p>
    <w:p>
      <w:r>
        <w:t xml:space="preserve">dieser Verordnung niedergelegten Grundsätzen nachvollziehen zu</w:t>
      </w:r>
    </w:p>
    <w:p>
      <w:r>
        <w:t xml:space="preserve">können.</w:t>
      </w:r>
    </w:p>
    <w:p>
      <w:r>
        <w:t xml:space="preserve">Ist bei stationären oder teilstationären</w:t>
      </w:r>
    </w:p>
    <w:p>
      <w:r>
        <w:t xml:space="preserve">Einrichtungen nur ein Teil der vorhandenen Plätze öffentlich</w:t>
      </w:r>
    </w:p>
    <w:p>
      <w:r>
        <w:t xml:space="preserve">gefördert, ist hinsichtlich der geförderten Plätze ein Nachweis</w:t>
      </w:r>
    </w:p>
    <w:p>
      <w:r>
        <w:t xml:space="preserve">über die konkrete räumliche Zuordnung zu erbringen.</w:t>
      </w:r>
    </w:p>
    <w:p>
      <w:r>
        <w:t xml:space="preserve">(2) Ermäßigen sich die bei der Berechnung zugrunde</w:t>
      </w:r>
    </w:p>
    <w:p>
      <w:r>
        <w:t xml:space="preserve">liegenden Aufwendungen um mehr als fünf vom Hundert gegenüber dem</w:t>
      </w:r>
    </w:p>
    <w:p>
      <w:r>
        <w:t xml:space="preserve">Betrag, der bei der Zustimmung zugrunde gelegen hat, ist der Träger</w:t>
      </w:r>
    </w:p>
    <w:p>
      <w:r>
        <w:t xml:space="preserve">verpflichtet, die Investitionsentgelte gegenüber den</w:t>
      </w:r>
    </w:p>
    <w:p>
      <w:r>
        <w:t xml:space="preserve">pflegebedürftigen Personen unverzüglich entsprechend zu senken und</w:t>
      </w:r>
    </w:p>
    <w:p>
      <w:r>
        <w:t xml:space="preserve">dies der zuständigen Landesbehörde mitzuteilen.</w:t>
      </w:r>
    </w:p>
    <w:p>
      <w:r>
        <w:t xml:space="preserve">(3) Ein Antrag auf Zustimmung zur Erhöhung der zu</w:t>
      </w:r>
    </w:p>
    <w:p>
      <w:r>
        <w:t xml:space="preserve">berechnenden Umlageentgelte ist frühestens nach einem Jahr seit der</w:t>
      </w:r>
    </w:p>
    <w:p>
      <w:r>
        <w:t xml:space="preserve">letzten Zustimmung zulässig, es sei denn, dass sich durch neue</w:t>
      </w:r>
    </w:p>
    <w:p>
      <w:r>
        <w:t xml:space="preserve">Umstände die Kosten um mehr als fünf vom Hundert erhöhen oder</w:t>
      </w:r>
    </w:p>
    <w:p>
      <w:r>
        <w:t xml:space="preserve">dass es sich um Veränderungen der Kapitalkosten handelt.</w:t>
      </w:r>
    </w:p>
    <w:p>
      <w:r>
        <w:t xml:space="preserve">Veränderungen der Kapitalkosten sind der zuständigen Behörde</w:t>
      </w:r>
    </w:p>
    <w:p>
      <w:r>
        <w:t xml:space="preserve">anzuzeigen und führen zur Neuberechnung der Entgelte.</w:t>
      </w:r>
    </w:p>
    <w:p>
      <w:r>
        <w:t xml:space="preserve">(4) Die Zustimmung zur gesonderten Berechnung wirkt auf den</w:t>
      </w:r>
    </w:p>
    <w:p>
      <w:r>
        <w:t xml:space="preserve">Tag des Antragseingangs bei der zuständigen Behörde zurück. Bis</w:t>
      </w:r>
    </w:p>
    <w:p>
      <w:r>
        <w:t xml:space="preserve">zur Entscheidung können von der pflegebedürftigen Person</w:t>
      </w:r>
    </w:p>
    <w:p>
      <w:r>
        <w:t xml:space="preserve">Abschlagszahlungen bis zur Höhe der Antragssumme erhoben werden. Solange</w:t>
      </w:r>
    </w:p>
    <w:p>
      <w:r>
        <w:t xml:space="preserve">die Entscheidung der zuständigen Behörde nicht bestandskräftig</w:t>
      </w:r>
    </w:p>
    <w:p>
      <w:r>
        <w:t xml:space="preserve">geworden ist, können Abschlagszahlungen in Höhe des durch die</w:t>
      </w:r>
    </w:p>
    <w:p>
      <w:r>
        <w:t xml:space="preserve">Behörde festgestellten Betrages erhoben werden.</w:t>
      </w:r>
    </w:p>
    <w:p>
      <w:r>
        <w:t xml:space="preserve">(5) Die unbefristet erteilte Zustimmung gilt solange, bis sie</w:t>
      </w:r>
    </w:p>
    <w:p>
      <w:r>
        <w:t xml:space="preserve">zurückgenommen oder widerrufen worden ist oder durch eine neue Zustimmung</w:t>
      </w:r>
    </w:p>
    <w:p>
      <w:r>
        <w:t xml:space="preserve">ersetzt wird.</w:t>
      </w:r>
    </w:p>
    <w:p>
      <w:r>
        <w:rPr>
          <w:color w:val="555555"/>
          <w:sz w:val="17"/>
        </w:rPr>
        <w:t xml:space="preserve">Zitiervorschlag: § 8 InvUmlBV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https://recht.nulegal.eu/gesetze/InvUmlBV/8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