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InvUmlBV (Brandenburg) — Eigenmittel, Zuweisungen und Zuschüsse Dritter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investive Maßnahmen sind vorrangig</w:t>
      </w:r>
    </w:p>
    <w:p>
      <w:r>
        <w:t xml:space="preserve">Eigenmittel des Trägers einzusetzen.</w:t>
      </w:r>
    </w:p>
    <w:p>
      <w:r>
        <w:t xml:space="preserve">(2) Zweckgebundene laufende Zuwendungen und Zuweisungen, die</w:t>
      </w:r>
    </w:p>
    <w:p>
      <w:r>
        <w:t xml:space="preserve">Dritte zur Refinanzierung von Investitionen gewähren, mindern die</w:t>
      </w:r>
    </w:p>
    <w:p>
      <w:r>
        <w:t xml:space="preserve">Höhe des Betrages der gesondert berechenbaren Leistungen entsprechend.</w:t>
      </w:r>
    </w:p>
    <w:p>
      <w:r>
        <w:t xml:space="preserve">Dies gilt ebenso für die Erstattung durch Dritte, insbesondere für</w:t>
      </w:r>
    </w:p>
    <w:p>
      <w:r>
        <w:t xml:space="preserve">Versicherungsleistungen.</w:t>
      </w:r>
    </w:p>
    <w:p>
      <w:r>
        <w:rPr>
          <w:color w:val="555555"/>
          <w:sz w:val="17"/>
        </w:rPr>
        <w:t xml:space="preserve">Zitiervorschlag: § 7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