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InvUmlBV (Brandenburg) — Miete, Pacht, Nutzungsgebühren und Mitbenutzungsaufwendungen</w:t>
      </w:r>
    </w:p>
    <w:p>
      <w:r>
        <w:rPr>
          <w:color w:val="555555"/>
          <w:sz w:val="18"/>
        </w:rPr>
        <w:t xml:space="preserve">Investitionsumlage-Berechnungsverordnung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Aufwendungen für Miete, Pacht, Nutzung oder Mitbenutzung</w:t>
      </w:r>
    </w:p>
    <w:p>
      <w:r>
        <w:t xml:space="preserve">von abschreibungsfähigen Anlagegütern nach § 1 Abs. 2 Nr. 4</w:t>
      </w:r>
    </w:p>
    <w:p>
      <w:r>
        <w:t xml:space="preserve">werden nur bis zur Höhe des orts- oder marktüblichen Niveaus</w:t>
      </w:r>
    </w:p>
    <w:p>
      <w:r>
        <w:t xml:space="preserve">berücksichtigt. Handelt es sich um Miete, Pacht, Nutzung oder Mitbenutzung</w:t>
      </w:r>
    </w:p>
    <w:p>
      <w:r>
        <w:t xml:space="preserve">von Gebäuden, so können nur Aufwendungen berücksichtigt werden,</w:t>
      </w:r>
    </w:p>
    <w:p>
      <w:r>
        <w:t xml:space="preserve">die unter Berücksichtigung vergleichbarer Einrichtungen und der Lage der</w:t>
      </w:r>
    </w:p>
    <w:p>
      <w:r>
        <w:t xml:space="preserve">Objekte angemessen sind. Die gesamten gesondert berechenbaren Aufwendungen</w:t>
      </w:r>
    </w:p>
    <w:p>
      <w:r>
        <w:t xml:space="preserve">dürfen nicht höher sein, als wenn nur die §§ 2 bis 4</w:t>
      </w:r>
    </w:p>
    <w:p>
      <w:r>
        <w:t xml:space="preserve">anwendbar wären.</w:t>
      </w:r>
    </w:p>
    <w:p>
      <w:r>
        <w:rPr>
          <w:color w:val="555555"/>
          <w:sz w:val="17"/>
        </w:rPr>
        <w:t xml:space="preserve">Zitiervorschlag: § 5 InvUmlBV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https://recht.nulegal.eu/gesetze/InvUmlBV/5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