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InvUmlBV (Brandenburg) — Instandhaltung, Instandsetzung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Aufwendungen für Instandhaltung und Instandsetzung der</w:t>
      </w:r>
    </w:p>
    <w:p>
      <w:r>
        <w:t xml:space="preserve">Gebäude und Anlagen sind pro Jahr ohne gesonderten Nachweis in Höhe</w:t>
      </w:r>
    </w:p>
    <w:p>
      <w:r>
        <w:t xml:space="preserve">von eins vom Hundert des jeweils geltenden Förderhöchstsatzes</w:t>
      </w:r>
    </w:p>
    <w:p>
      <w:r>
        <w:t xml:space="preserve">umlagefähig.</w:t>
      </w:r>
    </w:p>
    <w:p>
      <w:r>
        <w:rPr>
          <w:color w:val="555555"/>
          <w:sz w:val="17"/>
        </w:rPr>
        <w:t xml:space="preserve">Zitiervorschlag: § 4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