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InvUmlBV (Brandenburg) — Abschreibungen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Abschreibungen auf das Anlagevermögen werden von den</w:t>
      </w:r>
    </w:p>
    <w:p>
      <w:r>
        <w:t xml:space="preserve">Herstellungs- und Anschaffungskosten der betriebsnotwendigen und angemessenen</w:t>
      </w:r>
    </w:p>
    <w:p>
      <w:r>
        <w:t xml:space="preserve">Investitionen für den Teil berücksichtigt, der nicht durch</w:t>
      </w:r>
    </w:p>
    <w:p>
      <w:r>
        <w:t xml:space="preserve">öffentliche, nicht rückzahlbare Mittel bezuschusst wurde. Bei der</w:t>
      </w:r>
    </w:p>
    <w:p>
      <w:r>
        <w:t xml:space="preserve">Berechnung der umlagefähigen Abschreibungen (Absetzung für Abnutzung)</w:t>
      </w:r>
    </w:p>
    <w:p>
      <w:r>
        <w:t xml:space="preserve">für die in § 1 Abs. 2 Nr. 1 genannten Aufwendungen werden die</w:t>
      </w:r>
    </w:p>
    <w:p>
      <w:r>
        <w:t xml:space="preserve">betriebsübliche Nutzungsdauer des jeweiligen abschreibungsfähigen</w:t>
      </w:r>
    </w:p>
    <w:p>
      <w:r>
        <w:t xml:space="preserve">Anlagegutes und der lineare AfA-Satz der vom Bundesministerium der Finanzen</w:t>
      </w:r>
    </w:p>
    <w:p>
      <w:r>
        <w:t xml:space="preserve">herausgegebenen amtlichen Tabellen der Absetzungen für Abnutzung</w:t>
      </w:r>
    </w:p>
    <w:p>
      <w:r>
        <w:t xml:space="preserve">(AfA-Tabellen) angesetzt. Sonderabschreibungen bleiben unberücksichtigt.</w:t>
      </w:r>
    </w:p>
    <w:p>
      <w:r>
        <w:t xml:space="preserve">Verkaufserlöse sind von den jeweils abzuschreibenden Beträgen</w:t>
      </w:r>
    </w:p>
    <w:p>
      <w:r>
        <w:t xml:space="preserve">abzusetzen.</w:t>
      </w:r>
    </w:p>
    <w:p>
      <w:r>
        <w:t xml:space="preserve">(2) Bei Pflegeeinrichtungen, die vor dem 1. Januar 1992</w:t>
      </w:r>
    </w:p>
    <w:p>
      <w:r>
        <w:t xml:space="preserve">errichtet worden sind, ist die Abschreibung auf der Grundlage des Zeitwertes</w:t>
      </w:r>
    </w:p>
    <w:p>
      <w:r>
        <w:t xml:space="preserve">zum 1. Januar 1992 unter Einbeziehung der Restnutzungsdauer, jedoch nur bis zur</w:t>
      </w:r>
    </w:p>
    <w:p>
      <w:r>
        <w:t xml:space="preserve">Höhe der Anschaffungskosten bei Erwerb oder der Herstellungskosten</w:t>
      </w:r>
    </w:p>
    <w:p>
      <w:r>
        <w:t xml:space="preserve">umlagefähig.</w:t>
      </w:r>
    </w:p>
    <w:p>
      <w:r>
        <w:rPr>
          <w:color w:val="555555"/>
          <w:sz w:val="17"/>
        </w:rPr>
        <w:t xml:space="preserve">Zitiervorschlag: § 2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