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InvUmlBV (Brandenburg) — In-Kraft-Treten, Außer-Kraft-Treten</w:t>
      </w:r>
    </w:p>
    <w:p>
      <w:r>
        <w:rPr>
          <w:color w:val="555555"/>
          <w:sz w:val="18"/>
        </w:rPr>
        <w:t xml:space="preserve">Investitionsumlage-Berechnungsverordnung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</w:t>
      </w:r>
    </w:p>
    <w:p>
      <w:r>
        <w:t xml:space="preserve">Kraft.</w:t>
      </w:r>
    </w:p>
    <w:p>
      <w:r>
        <w:t xml:space="preserve">(2) Mit dem In-Kraft-Treten dieser Verordnung tritt die</w:t>
      </w:r>
    </w:p>
    <w:p>
      <w:r>
        <w:t xml:space="preserve">Investitionsumlage-Berechnungsverordnung vom 14. April 1998 (GVBl. II S. 358)</w:t>
      </w:r>
    </w:p>
    <w:p>
      <w:r>
        <w:t xml:space="preserve">außer Kraft.</w:t>
      </w:r>
    </w:p>
    <w:p>
      <w:r>
        <w:t xml:space="preserve">Potsdam, den 26. Januar 2000</w:t>
      </w:r>
    </w:p>
    <w:p>
      <w:r>
        <w:t xml:space="preserve">Der Minister für Arbeit, Soziales, Gesundheit und</w:t>
      </w:r>
    </w:p>
    <w:p>
      <w:r>
        <w:t xml:space="preserve">Frauen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10 InvUmlBV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https://recht.nulegal.eu/gesetze/InvUmlBV/10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