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InvStG 2018 — Nachweis der Steuerbefreiung</w:t>
      </w:r>
    </w:p>
    <w:p>
      <w:r>
        <w:rPr>
          <w:color w:val="555555"/>
          <w:sz w:val="18"/>
        </w:rPr>
        <w:t xml:space="preserve">Investmentsteuergesetz</w:t>
      </w:r>
    </w:p>
    <w:p>
      <w:r>
        <w:rPr>
          <w:color w:val="555555"/>
          <w:sz w:val="18"/>
        </w:rPr>
        <w:t xml:space="preserve">Stand: 10.06.2019 (konsolidierte Textfassung, kein amtliches Inkrafttretensdatum)</w:t>
      </w:r>
    </w:p>
    <w:p>
      <w:r>
        <w:t xml:space="preserve">(1) Die Steuerbefreiung nach § 8 Absatz 1 Nummer 1 ist nachzuweisen durch</w:t>
      </w:r>
    </w:p>
    <w:p>
      <w:pPr>
        <w:ind w:left="420"/>
      </w:pPr>
      <w:r>
        <w:t xml:space="preserve">1. eine Bescheinigung nach § 44a Absatz 7 Satz 2 des Einkommensteuergesetzes oder</w:t>
      </w:r>
    </w:p>
    <w:p>
      <w:pPr>
        <w:ind w:left="420"/>
      </w:pPr>
      <w:r>
        <w:t xml:space="preserve">2. eine vom Bundeszentralamt für Steuern auszustellende Bescheinigung über die Vergleichbarkeit des ausländischen Anlegers mit Anlegern nach § 44a Absatz 7 Satz 1 des Einkommensteuergesetzes (Befreiungsbescheinigung) und</w:t>
      </w:r>
    </w:p>
    <w:p>
      <w:pPr>
        <w:ind w:left="420"/>
      </w:pPr>
      <w:r>
        <w:t xml:space="preserve">3. eine von der depotführenden Stelle des Anlegers nach Ablauf des Kalenderjahres nach amtlichem Muster erstellte Bescheinigung über den Umfang der durchgehend während des Kalenderjahres vom Anleger gehaltenen Investmentanteile sowie den Zeitpunkt und Umfang des Erwerbs oder der Veräußerung von Investmentanteilen während des Kalenderjahres (Investmentanteil-Bestandsnachweis).</w:t>
      </w:r>
    </w:p>
    <w:p>
      <w:r>
        <w:t xml:space="preserve">(2) Die Befreiungsbescheinigung ist nur auszustellen, wenn der ausländische Anleger die Vergleichbarkeit nachweist. Eine Vergleichbarkeit setzt voraus, dass der ausländische Anleger eine Körperschaft, Personenvereinigung oder Vermögensmasse ist, die nach der Satzung, dem Stiftungsgeschäft oder der sonstigen Verfassung und nach der tatsächlichen Geschäftsführung ausschließlich und unmittelbar gemeinnützigen, mildtätigen oder kirchlichen Zwecken dient (§§ 51 bis 68 der Abgabenordnung). § 7 Absatz 4 ist auf die Befreiungsbescheinigung entsprechend anzuwenden.</w:t>
      </w:r>
    </w:p>
    <w:p>
      <w:r>
        <w:t xml:space="preserve">(3) Die Steuerbefreiung nach § 8 Absatz 1 Nummer 2 setzt voraus, dass der Anbieter eines Altersvorsorge- oder Basisrentenvertrags dem Investmentfonds innerhalb eines Monats nach dessen Geschäftsjahresende mitteilt, zu welchen Zeitpunkten und in welchem Umfang Anteile erworben oder veräußert wurden.</w:t>
      </w:r>
    </w:p>
    <w:p>
      <w:r>
        <w:rPr>
          <w:color w:val="555555"/>
          <w:sz w:val="17"/>
        </w:rPr>
        <w:t xml:space="preserve">Zitiervorschlag: § 9 InvStG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https://recht.nulegal.eu/gesetze/InvStG%202018/9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