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InvStG 2018 — Anwendungs- und Übergangsvorschriften zum Investmentsteuerreformgesetz</w:t>
      </w:r>
    </w:p>
    <w:p>
      <w:r>
        <w:rPr>
          <w:color w:val="555555"/>
          <w:sz w:val="18"/>
        </w:rPr>
        <w:t xml:space="preserve">Investmentsteuergesetz</w:t>
      </w:r>
    </w:p>
    <w:p>
      <w:r>
        <w:rPr>
          <w:color w:val="555555"/>
          <w:sz w:val="18"/>
        </w:rPr>
        <w:t xml:space="preserve">Stand: 10.12.2024 (konsolidierte Textfassung, kein amtliches Inkrafttretensdatum)</w:t>
      </w:r>
    </w:p>
    <w:p>
      <w:r>
        <w:t xml:space="preserve">(1) Die Vorschriften dieses Gesetzes in der am 1. Januar 2018 geltenden Fassung sind ab dem 1. Januar 2018 anzuwenden. Für die Zeit vor dem 1. Januar 2018 und für Unterschiedsbeträge nach § 5 Absatz 1 Satz 1 Nummer 5 und § 13 Absatz 4 des Investmentsteuergesetzes in der am 31. Dezember 2017 geltenden Fassung, die für vor dem 1. Januar 2018 endende Geschäftsjahre veröffentlicht werden, ist weiterhin das Investmentsteuergesetz in der am 31. Dezember 2017 geltenden Fassung anzuwenden. Bei Investmentfonds und Kapital-Investitionsgesellschaften nach dem Investmentsteuergesetz in der am 31. Dezember 2017 geltenden Fassung mit einem vom Kalenderjahr abweichenden Geschäftsjahr gilt für steuerliche Zwecke ein Rumpfgeschäftsjahr zum 31. Dezember 2017 als beendet. Für Rumpfgeschäftsjahre nach Satz 3 verlängert sich die Frist für die Veröffentlichung der Besteuerungsgrundlagen nach § 5 Absatz 1 Satz 1 Nummer 3 Satz 1 des Investmentsteuergesetzes in der am 31. Dezember 2017 geltenden Fassung bis zum 31. Dezember 2018. Abweichend von Satz 1 sind die Vorschriften dieses Gesetzes in der durch Artikel 15 des Gesetzes vom 11. Dezember 2018 (BGBl. I S. 2338) geänderten Fassung anzuwenden auf Investmenterträge, die nach dem 10. August 2018 zufließen oder als zugeflossen gelten sowie auf Bewertungen nach § 6 des Einkommensteuergesetzes, die nach diesem Zeitpunkt vorzunehmen sind.</w:t>
      </w:r>
    </w:p>
    <w:p>
      <w:r>
        <w:t xml:space="preserve">(1a) Für Investmentfonds, die vor dem 1. Januar 2019 aufgelegt wurden, gelten Anlagebedingungen, die die Voraussetzungen des § 2 Absatz 6 in der Fassung des Artikels 1 des Gesetzes vom 19. Juli 2016 (BGBl. I S. 1730) erfüllen, als Anlagebedingungen, die die Voraussetzungen des § 2 Absatz 6 in der Fassung des Artikels 15 des Gesetzes vom 11. Dezember 2018 (BGBl. I S. 2338) erfüllen. Satz 1 ist entsprechend anzuwenden auf Investmentfonds, die vor dem 1. Januar 2019 aufgelegt wurden und die Voraussetzungen des § 2 Absatz 7 oder 9 erfüllen.</w:t>
      </w:r>
    </w:p>
    <w:p>
      <w:r>
        <w:t xml:space="preserve">(2) Anteile an Investmentfonds, an Kapital-Investitionsgesellschaften nach dem Investmentsteuergesetz in der am 31. Dezember 2017 geltenden Fassung oder an Organismen, die zum 1. Januar 2018 erstmals in den Anwendungsbereich dieses Gesetzes fallen (Alt-Anteile), gelten mit Ablauf des 31. Dezember 2017 als veräußert und mit Beginn des 1. Januar 2018 als angeschafft. Als Veräußerungserlös und Anschaffungskosten ist der letzte im Kalenderjahr 2017 festgesetzte Rücknahmepreis anzusetzen. Wird kein Rücknahmepreis festgesetzt, tritt der Börsen- oder Marktpreis an die Stelle des Rücknahmepreises. Der nach den Sätzen 2 und 3 ermittelte Wert der Alt-Anteile gilt als Anschaffungskosten im Sinne von § 6 Absatz 1 Nummer 2 Satz 1 des Einkommensteuergesetzes. Soweit der nach den Sätzen 2 und 3 ermittelte Wert der Alt-Anteile höher ist als der Buchwert der Alt-Anteile am 31. Dezember 2017, sind Wertminderungen im Sinne von § 6 Absatz 1 Nummer 2 Satz 2 des Einkommensteuergesetzes erst zum Zeitpunkt der tatsächlichen Veräußerung der Alt-Anteile zu berücksichtigen. Wertaufholungen im Sinne des § 6 Absatz 1 Nummer 2 Satz 3 in Verbindung mit Nummer 1 Satz 4 des Einkommensteuergesetzes sind erst zum Zeitpunkt der tatsächlichen Veräußerung der Alt-Anteile zu berücksichtigen, soweit auf die vorherigen Wertminderungen Satz 5 angewendet wurde und soweit der Buchwert der Alt-Anteile zum 31. Dezember 2017 überschritten wird. Der Buchwert der Alt-Anteile zum 31. Dezember 2017 ist ohne Berücksichtigung der fiktiven Veräußerung nach Satz 1 zu ermitteln.</w:t>
      </w:r>
    </w:p>
    <w:p>
      <w:r>
        <w:t xml:space="preserve">(3) Der nach den am 31. Dezember 2017 geltenden Vorschriften ermittelte Gewinn aus der fiktiven Veräußerung nach Absatz 2 Satz 1 einschließlich außerbilanzieller Hinzurechnungen und Abrechnungen ist zu dem Zeitpunkt zu berücksichtigen, zu dem der Alt-Anteil tatsächlich veräußert wird. Bei der tatsächlichen Veräußerung von Alt-Anteilen gelten die zuerst angeschafften Anteile als zuerst veräußert. Der Gewinn aus der fiktiven Veräußerung nach Absatz 2 Satz 1 unterliegt zum Zeitpunkt der tatsächlichen Veräußerung des Alt-Anteils dem Steuerabzug nach § 43 Absatz 1 Satz 1 Nummer 9 des Einkommensteuergesetzes. Kann der Gewinn aus der fiktiven Veräußerung nicht ermittelt werden, so sind 30 Prozent des Rücknahmepreises oder, wenn kein Rücknahmepreis festgesetzt ist, des Börsen- oder Marktpreises als Bemessungsgrundlage für den Steuerabzug anzusetzen (Ersatzbemessungsgrundlage). Bei Ansatz der Ersatzbemessungsgrundlage ist die Abgeltungswirkung nach § 43 Absatz 5 Satz 1 erster Halbsatz des Einkommensteuergesetzes ausgeschlossen und der Entrichtungspflichtige ist verpflichtet, eine Steuerbescheinigung nach § 45a Absatz 2 des Einkommensteuergesetzes auszustellen, in der er den Ansatz der Ersatzbemessungsgrundlage kenntlich zu machen hat. Die als zugeflossen geltenden, aber noch nicht dem Steuerabzug unterworfenen Erträge nach § 7 Absatz 1 Satz 1 Nummer 3 in der bis zum 31. Dezember 2017 geltenden Fassung und der Zwischengewinn nach § 7 Absatz 1 Satz 1 Nummer 4 in der bis zum 31. Dezember 2017 geltenden Fassung unterliegen zum Zeitpunkt der tatsächlichen Veräußerung des Alt-Anteils dem Steuerabzug nach § 43 Absatz 1 Satz 1 Nummer 5 des Einkommensteuergesetzes. Die vorstehenden Sätze sind nicht auf den Gewinn aus der fiktiven Veräußerung nach Absatz 2 Satz 1 anzuwenden, wenn der Gewinn einem Investmentfonds oder einem Spezial-Investmentfonds zuzurechnen ist.</w:t>
      </w:r>
    </w:p>
    <w:p>
      <w:r>
        <w:t xml:space="preserve">(3a) Für die Zwecke der Absätze 2 und 3 steht eine fiktive Veräußerung nach § 19 Absatz 2 oder 3, § 49 Absatz 5 oder § 52 Absatz 2 einer tatsächlichen Veräußerung gleich.</w:t>
      </w:r>
    </w:p>
    <w:p>
      <w:r>
        <w:t xml:space="preserve">(4) Die inländische Stelle, die die Alt-Anteile verwahrt oder verwaltet, hat bis zum 31. Dezember 2020 Folgendes zu ermitteln und bis zur tatsächlichen Veräußerung vorzuhalten:</w:t>
      </w:r>
    </w:p>
    <w:p>
      <w:pPr>
        <w:ind w:left="420"/>
      </w:pPr>
      <w:r>
        <w:t xml:space="preserve">1. den Gewinn aus der fiktiven Veräußerung nach Absatz 2 Satz 1 und</w:t>
      </w:r>
    </w:p>
    <w:p>
      <w:pPr>
        <w:ind w:left="420"/>
      </w:pPr>
      <w:r>
        <w:t xml:space="preserve">2. die Erträge nach § 7 Absatz 1 Satz 1 Nummer 3 und 4 des Investmentsteuergesetzes in der bis zum 31. Dezember 2017 geltenden Fassung.</w:t>
      </w:r>
    </w:p>
    <w:p>
      <w:r>
        <w:t xml:space="preserve">Die inländische Stelle hat dem Steuerpflichtigen auf Antrag die Angaben nach Satz 1 Nummer 1 mitzuteilen. Überträgt der Anleger die Alt-Anteile auf ein anderes Depot, so hat die abgebende inländische Stelle der übernehmenden inländischen Stelle die Angaben nach Satz 1 mitzuteilen.</w:t>
      </w:r>
    </w:p>
    <w:p>
      <w:r>
        <w:t xml:space="preserve">(5) Der Gewinn nach Absatz 3 Satz 1 ist gesondert festzustellen, wenn die Alt-Anteile zum Betriebsvermögen des Anlegers gehören. Für die Zwecke des Satzes 1 gilt eine Mitunternehmerschaft als Anleger. Bei einer Gesamthand, die keine Mitunternehmerschaft ist, gelten für die Zwecke des Satzes 1 deren Beteiligte als Anleger. Der Anleger hat eine Erklärung zur gesonderten Feststellung des Gewinns nach Absatz 3 Satz 1 frühestens nach dem 31. Dezember 2019 und spätestens bis zum 31. Dezember 2022 nach amtlich vorgeschriebenem Datensatz durch Datenfernübertragung zu übermitteln. Der Anleger hat in der Feststellungserklärung den Gewinn nach Absatz 3 Satz 1 selbst zu ermitteln. Die Feststellungserklärung steht einer gesonderten Feststellung unter dem Vorbehalt der Nachprüfung gleich; eine berichtigte Feststellungserklärung gilt als Antrag auf Änderung. Die für Steueranmeldungen geltenden Vorschriften der Abgabenordnung gelten entsprechend. Auf Antrag kann die Finanzbehörde zur Vermeidung unbilliger Härten auf eine elektronische Übermittlung verzichten; in diesem Fall ist die Erklärung zur gesonderten Feststellung nach amtlich vorgeschriebenem Vordruck abzugeben und vom Anleger eigenhändig zu unterschreiben. Zuständig für die gesonderte Feststellung des Gewinns nach Absatz 3 Satz 1 ist das Finanzamt, das für die Besteuerung des Anlegers nach dem Einkommen zuständig ist. In den Fällen des § 180 Absatz 1 Satz 1 Nummer 2 der Abgabenordnung ist für die gesonderte Feststellung des Gewinns nach Absatz 3 Satz 1 das Finanzamt zuständig, das für die gesonderte Feststellung nach § 18 der Abgabenordnung zuständig ist. Für Alt-Anteile, die vor dem 1. Januar 2023 und vor der Abgabe der Feststellungserklärung veräußert wurden, ist keine Erklärung abzugeben und keine Feststellung vorzunehmen. § 180 Absatz 3 Satz 1 Nummer 2 sowie Satz 2 und 3 der Abgabenordnung ist entsprechend anzuwenden.</w:t>
      </w:r>
    </w:p>
    <w:p>
      <w:r>
        <w:t xml:space="preserve">(6) Bei Alt-Anteilen, die vor dem 1. Januar 2009 erworben wurden und seit der Anschaffung nicht im Betriebsvermögen gehalten wurden (bestandsgeschützte Alt-Anteile), sind</w:t>
      </w:r>
    </w:p>
    <w:p>
      <w:pPr>
        <w:ind w:left="420"/>
      </w:pPr>
      <w:r>
        <w:t xml:space="preserve">1. Wertveränderungen, die zwischen dem Anschaffungszeitpunkt und dem 31. Dezember 2017 eingetreten sind, steuerfrei und</w:t>
      </w:r>
    </w:p>
    <w:p>
      <w:pPr>
        <w:ind w:left="420"/>
      </w:pPr>
      <w:r>
        <w:t xml:space="preserve">2. Wertveränderungen, die ab dem 1. Januar 2018 eingetreten sind, steuerpflichtig, soweit der Gewinn aus der Veräußerung von bestandsgeschützten Alt-Anteilen 100 000 Euro übersteigt.</w:t>
      </w:r>
    </w:p>
    <w:p>
      <w:r>
        <w:t xml:space="preserve">Der am Schluss des Veranlagungszeitraums verbleibende Freibetrag nach Satz 1 Nummer 2 ist bis zu seinem vollständigen Verbrauch jährlich gesondert festzustellen. Verbleibender Freibetrag ist im Jahr der erstmaligen Inanspruchnahme der Betrag von 100 000 Euro vermindert um den bei der Ermittlung der Einkünfte berücksichtigten Freibetrag nach Satz 1 Nummer 2; verbleibender Freibetrag ist in den Folgejahren der zum Schluss des vorangegangenen Veranlagungszeitraums festgestellte verbleibende Freibetrag vermindert um den bei der Ermittlung der Einkünfte berücksichtigten Freibetrag nach Satz 1 Nummer 2. Zuständig für die gesonderte Feststellung des verbleibenden Freibetrags ist das Finanzamt, das für die Besteuerung des Anlegers nach dem Einkommen zuständig ist. § 10d Absatz 4 Satz 4 bis 6 des Einkommensteuergesetzes ist entsprechend anzuwenden. Anteile im Sinne des § 21 Absatz 2a und 2b des Investmentsteuergesetzes in der bis zum 31. Dezember 2017 geltenden Fassung sind keine bestandsgeschützten Alt-Anteile im Sinne der Sätze 1 bis 5.</w:t>
      </w:r>
    </w:p>
    <w:p>
      <w:r>
        <w:t xml:space="preserve">(7) Ordentliche Alterträge gelten mit Ablauf des Geschäftsjahres, in dem sie vereinnahmt wurden, als den Anlegern zugeflossene ausschüttungsgleiche Erträge, wenn sie nicht ausgeschüttet werden und den Anlegern vor dem 1. Januar 2018 zufließen. Soweit ein Anleger einen Anteil an einem Spezial-Investmentfonds von dem Tag, an dem das Geschäftsjahr des Spezial-Investmentfonds nach dem 30. Juni 2017 geendet hat, bis zum 2. Januar 2018 ununterbrochen hält, gelten die darauf entfallenden ausschüttungsgleichen Erträge nach Satz 1, die in einem nach dem 30. Juni 2017 endenden Geschäftsjahr vereinnahmt wurden, als am 1. Januar 2018 zugeflossen. Die ausschüttungsgleichen Erträge nach den Sätzen 1 und 2 unterliegen der Besteuerung nach dem Investmentsteuergesetz in der am 31. Dezember 2017 geltenden Fassung und nach dem Einkommensteuergesetz in der am 26. Juli 2016 geltenden Fassung. Die ausschüttungsgleichen Erträge nach Satz 2 können als ausschüttungsgleiche Erträge der Vorjahre im Sinne des § 35 Absatz 5 ausgeschüttet werden. Ordentliche Alterträge sind Erträge der in § 1 Absatz 3 Satz 3 Nummer 1 und 2 sowie Satz 4 des Investmentsteuergesetzes in der am 31. Dezember 2017 geltenden Fassung bezeichneten Art, die der Investmentfonds oder der Spezial-Investmentfonds vor dem 1. Januar 2018 vereinnahmt.</w:t>
      </w:r>
    </w:p>
    <w:p>
      <w:r>
        <w:t xml:space="preserve">(8) Außerordentliche Alterträge, ausschüttungsgleiche Erträge, die vor dem 1. Januar 2018 als zugeflossen gelten, Absetzungsbeträge, die auf Zeiträume vor dem 1. Januar 2018 entfallen, nicht ausgeglichene negative Erträge nach § 3 Absatz 4 Satz 2 des Investmentsteuergesetzes in der am 31. Dezember 2017 geltenden Fassung und sonstige für die Zeiträume vor dem 1. Januar 2018 ermittelte Werte sind für die Anwendung dieses Gesetzes in der am 1. Januar 2018 geltenden Fassung nicht zu berücksichtigen. Außerordentliche Alterträge sind Erträge, deren Art nicht unter § 1 Absatz 3 Satz 3 Nummer 1 und 2 sowie Satz 4 des Investmentsteuergesetzes in der am 31. Dezember 2017 geltenden Fassung fällt und von dem Investmentfonds oder dem Spezial-Investmentfonds vor dem 1. Januar 2018 vereinnahmt wurden. Bei der Ermittlung des Fonds-Aktiengewinns, des Fonds-Abkommensgewinns und des Fonds-Teilfreistellungsgewinns sind die vor dem 1. Januar 2018 vereinnahmten Gewinne, eingetretenen Wertveränderungen und die vereinnahmten Erträge nicht zu berücksichtigen.</w:t>
      </w:r>
    </w:p>
    <w:p>
      <w:r>
        <w:t xml:space="preserve">(9) Substanzbeträge gelten als Spezial-Investmenterträge nach § 34 Absatz 1 Nummer 1, soweit bei dem Anleger ein positiver Gewinn nach Absatz 3 Satz 1 vorhanden ist. Sie unterliegen nicht dem Steuerabzug nach § 50.</w:t>
      </w:r>
    </w:p>
    <w:p>
      <w:r>
        <w:rPr>
          <w:color w:val="555555"/>
          <w:sz w:val="17"/>
        </w:rPr>
        <w:t xml:space="preserve">Zitiervorschlag: § 56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