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54 InvStG 2018 — Verschmelzung von Spezial-Investmentfonds und Altersvorsorgevermögenfonds</w:t>
      </w:r>
    </w:p>
    <w:p>
      <w:r>
        <w:rPr>
          <w:color w:val="555555"/>
          <w:sz w:val="18"/>
        </w:rPr>
        <w:t xml:space="preserve">Investmentsteuergesetz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einer Verschmelzung von inländischen Spezial-Investmentfonds miteinander gilt § 23 Absatz 1 bis 3 entsprechend. Satz 1 ist nicht anzuwenden, wenn ein Sondervermögen nach § 1 Absatz 10 des Kapitalanlagegesetzbuchs oder ein Teilinvestmentvermögen eines solchen Sondervermögens mit einer Investmentaktiengesellschaft mit veränderlichem Kapital nach § 108 des Kapitalanlagegesetzbuchs oder einem Teilgesellschaftsvermögen einer solchen Investmentaktiengesellschaft verschmolzen wird.</w:t>
      </w:r>
    </w:p>
    <w:p>
      <w:r>
        <w:t xml:space="preserve">(2) Bei einer Verschmelzung von ausländischen Spezial-Investmentfonds miteinander gilt § 23 Absatz 4 entsprechend. Satz 1 ist nicht anzuwenden, wenn ein ausländischer Spezial-Investmentfonds in einer Rechtsform, die mit einem Sondervermögen oder einem Teilinvestmentvermögen vergleichbar ist, mit einem ausländischen Spezial-Investmentfonds in einer Rechtsform, die mit einer Investmentaktiengesellschaft mit veränderlichem Kapital oder einem Teilgesellschaftsvermögen vergleichbar ist, verschmolzen wird.</w:t>
      </w:r>
    </w:p>
    <w:p>
      <w:r>
        <w:t xml:space="preserve">(3) Bei einer Verschmelzung von inländischen Altersvorsorgevermögenfonds miteinander gilt § 23 Absatz 1 bis 3 entsprechend.</w:t>
      </w:r>
    </w:p>
    <w:p>
      <w:r>
        <w:t xml:space="preserve">(4) Bei einer Verschmelzung von ausländischen Altersvorsorgevermögenfonds miteinander gilt § 23 Absatz 4 entsprechend.</w:t>
      </w:r>
    </w:p>
    <w:p>
      <w:r>
        <w:rPr>
          <w:color w:val="555555"/>
          <w:sz w:val="17"/>
        </w:rPr>
        <w:t xml:space="preserve">Zitiervorschlag: § 54 InvStG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https://recht.nulegal.eu/gesetze/InvStG%202018/54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