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InvStG 2018 — Altersvorsorgevermögenfonds</w:t>
      </w:r>
    </w:p>
    <w:p>
      <w:r>
        <w:rPr>
          <w:color w:val="555555"/>
          <w:sz w:val="18"/>
        </w:rPr>
        <w:t xml:space="preserve">Investmentsteuergesetz</w:t>
      </w:r>
    </w:p>
    <w:p>
      <w:r>
        <w:rPr>
          <w:color w:val="555555"/>
          <w:sz w:val="18"/>
        </w:rPr>
        <w:t xml:space="preserve">Stand: 10.06.2019 (konsolidierte Textfassung, kein amtliches Inkrafttretensdatum)</w:t>
      </w:r>
    </w:p>
    <w:p>
      <w:r>
        <w:t xml:space="preserve">(1) Ein Altersvorsorgevermögenfonds ist eine offene Investmentkommanditgesellschaft,</w:t>
      </w:r>
    </w:p>
    <w:p>
      <w:pPr>
        <w:ind w:left="420"/>
      </w:pPr>
      <w:r>
        <w:t xml:space="preserve">1. deren Gesellschaftszweck unmittelbar und ausschließlich auf die Abdeckung von betrieblichen Altersvorsorgeverpflichtungen ihrer Anleger gerichtet ist und</w:t>
      </w:r>
    </w:p>
    <w:p>
      <w:pPr>
        <w:ind w:left="420"/>
      </w:pPr>
      <w:r>
        <w:t xml:space="preserve">2. die die Voraussetzungen eines Spezial-Investmentfonds erfüllt.</w:t>
      </w:r>
    </w:p>
    <w:p>
      <w:r>
        <w:t xml:space="preserve">(2) Die Anleger haben der offenen Investmentkommanditgesellschaft schriftlich nach amtlichem Muster zu bestätigen, dass sie ihren Anteil unmittelbar und ausschließlich zur Abdeckung betrieblicher Altersvorsorgeverpflichtungen halten. Liegt diese Bestätigung bei im Ausland ansässigen Anlegern vor, so gilt die Voraussetzung des Absatzes 1 Nummer 1 als erfüllt. Im Übrigen gilt diese Voraussetzung als nicht erfüllt, wenn der Wert der Anteile, die ein Anleger erwirbt, den Wert seiner betrieblichen Altersvorsorgeverpflichtung übersteigt.</w:t>
      </w:r>
    </w:p>
    <w:p>
      <w:r>
        <w:t xml:space="preserve">(3) Die Vorschriften für Spezial-Investmentfonds und deren Anleger sind entsprechend auf Altersvorsorgevermögenfonds und deren Anleger anzuwenden. Bei einem Wegfall der Voraussetzungen des Absatzes 1 ist § 52 sinngemäß anzuwenden. Für die Bewertung eines Anteils an einem Altersvorsorgevermögenfonds gilt § 6 Absatz 1 Nummer 2 des Einkommensteuergesetzes entsprechend.</w:t>
      </w:r>
    </w:p>
    <w:p>
      <w:r>
        <w:t xml:space="preserve">(4) Die Beteiligung an einem Altersvorsorgevermögenfonds führt nicht zur Begründung oder anteiligen Zurechnung einer Betriebsstätte des Anteilseigners. Die Einkünfte des Altersvorsorgevermögenfonds gelten als nicht gewerblich. § 9 Nummer 2 des Gewerbesteuergesetzes ist auf Anteile am Gewinn eines Altersvorsorgevermögenfonds nicht anzuwenden.</w:t>
      </w:r>
    </w:p>
    <w:p>
      <w:r>
        <w:rPr>
          <w:color w:val="555555"/>
          <w:sz w:val="17"/>
        </w:rPr>
        <w:t xml:space="preserve">Zitiervorschlag: § 53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