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InvStG 2018 — Wegfall der Voraussetzungen eines Spezial-Investmentfonds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Ein Spezial-Investmentfonds gilt als aufgelöst, wenn der Spezial-Investmentfonds seine Anlagebedingungen in der Weise ändert, dass die Voraussetzungen des § 26 nicht mehr erfüllt sind oder ein wesentlicher Verstoß gegen die Anlagebestimmungen des § 26 vorliegt. Liegen zugleich die Voraussetzungen eines Investmentfonds weiterhin vor, so gilt mit der Auflösung ein Investmentfonds als neu aufgelegt. Entfallen die Voraussetzungen des § 26 zu einem anderen Zeitpunkt als zum Ende des Geschäftsjahres, so gilt für steuerliche Zwecke ein Rumpfgeschäftsjahr als beendet.</w:t>
      </w:r>
    </w:p>
    <w:p>
      <w:r>
        <w:t xml:space="preserve">(2) Die Anteile an dem Spezial-Investmentfonds gelten zu dem Zeitpunkt als veräußert, zu dem die Voraussetzungen nach § 26 entfallen. Als Veräußerungserlös ist der Rücknahmepreis am Ende des Geschäftsjahres oder Rumpfgeschäftsjahres anzusetzen. Wird kein Rücknahmepreis festgesetzt, so tritt der Börsen- oder Marktpreis an die Stelle des Rücknahmepreises.</w:t>
      </w:r>
    </w:p>
    <w:p>
      <w:r>
        <w:t xml:space="preserve">(3) Zu dem Zeitpunkt, zu dem die Voraussetzungen des § 26 entfallen, gelten unter den Voraussetzungen des Absatzes 1 zugleich die Investmentanteile an dem Investmentfonds als angeschafft. Als Anschaffungskosten der Investmentanteile ist der nach Absatz 2 Satz 2 oder 3 anwendbare Wert anzusetzen.</w:t>
      </w:r>
    </w:p>
    <w:p>
      <w:r>
        <w:rPr>
          <w:color w:val="555555"/>
          <w:sz w:val="17"/>
        </w:rPr>
        <w:t xml:space="preserve">Zitiervorschlag: § 52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