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InvStG 2018 — Kapitalertragsteuer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inländischer Spezial-Investmentfonds hat als Entrichtungspflichtiger 15 Prozent Kapitalertragsteuer einzubehalten und abzuführen. Dem Steuerabzug unterliegen</w:t>
      </w:r>
    </w:p>
    <w:p>
      <w:pPr>
        <w:ind w:left="420"/>
      </w:pPr>
      <w:r>
        <w:t xml:space="preserve">1. die ausgeschütteten und ausschüttungsgleichen Erträge, mit Ausnahme der nach § 43 Absatz 1 und 2 steuerfreien Erträge, und</w:t>
      </w:r>
    </w:p>
    <w:p>
      <w:pPr>
        <w:ind w:left="420"/>
      </w:pPr>
      <w:r>
        <w:t xml:space="preserve">2. der Gewinn aus der Veräußerung eines Spezial-Investmentanteils.</w:t>
      </w:r>
    </w:p>
    <w:p>
      <w:r>
        <w:t xml:space="preserve">(2) Der Entrichtungspflichtige hat ausländische Steuern nach Maßgabe des § 47 zu berücksichtigen. Die Vorschriften des Einkommensteuergesetzes, die für den Steuerabzug von Kapitalerträgen nach § 43 Absatz 1 Satz 1 Nummer 7 und Satz 2 des Einkommensteuergesetzes gelten, sind entsprechend anzuwenden.</w:t>
      </w:r>
    </w:p>
    <w:p>
      <w:r>
        <w:t xml:space="preserve">(3) Soweit die ausgeschütteten Erträge Kapitalerträge nach § 43 Absatz 1 Satz 1 Nummer 6 und 8 bis 12 des Einkommensteuergesetzes enthalten, gilt § 43 Absatz 2 Satz 3 bis 8 des Einkommensteuergesetzes entsprechend.</w:t>
      </w:r>
    </w:p>
    <w:p>
      <w:r>
        <w:rPr>
          <w:color w:val="555555"/>
          <w:sz w:val="17"/>
        </w:rPr>
        <w:t xml:space="preserve">Zitiervorschlag: § 50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