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InvStG 2018 — Prüfung der steuerlichen Verhältnisse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Finanzbehörde ist zur Überprüfung der steuerlichen Verhältnisse befugt.</w:t>
      </w:r>
    </w:p>
    <w:p>
      <w:r>
        <w:t xml:space="preserve">(2) Eine Prüfung nach Absatz 1 ist zulässig bei Investmentfonds zur Ermittlung</w:t>
      </w:r>
    </w:p>
    <w:p>
      <w:pPr>
        <w:ind w:left="420"/>
      </w:pPr>
      <w:r>
        <w:t xml:space="preserve">1. der steuerlichen Verhältnisse des Investmentfonds,</w:t>
      </w:r>
    </w:p>
    <w:p>
      <w:pPr>
        <w:ind w:left="420"/>
      </w:pPr>
      <w:r>
        <w:t xml:space="preserve">2. der Voraussetzungen für eine Besteuerung als Spezial-Investmentfonds und</w:t>
      </w:r>
    </w:p>
    <w:p>
      <w:pPr>
        <w:ind w:left="420"/>
      </w:pPr>
      <w:r>
        <w:t xml:space="preserve">3. der Besteuerungsgrundlagen der Anleger.</w:t>
      </w:r>
    </w:p>
    <w:p>
      <w:r>
        <w:t xml:space="preserve">Die §§ 194 bis 203 der Abgabenordnung sind entsprechend anzuwenden.</w:t>
      </w:r>
    </w:p>
    <w:p>
      <w:r>
        <w:rPr>
          <w:color w:val="555555"/>
          <w:sz w:val="17"/>
        </w:rPr>
        <w:t xml:space="preserve">Zitiervorschlag: § 5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