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InvStG 2018 — Veräußerung von Spezial-Investmentanteilen, Teilwertansatz</w:t>
      </w:r>
    </w:p>
    <w:p>
      <w:r>
        <w:rPr>
          <w:color w:val="555555"/>
          <w:sz w:val="18"/>
        </w:rPr>
        <w:t xml:space="preserve">Investmentsteuergesetz</w:t>
      </w:r>
    </w:p>
    <w:p>
      <w:r>
        <w:rPr>
          <w:color w:val="555555"/>
          <w:sz w:val="18"/>
        </w:rPr>
        <w:t xml:space="preserve">Stand: 10.12.2024 (konsolidierte Textfassung, kein amtliches Inkrafttretensdatum)</w:t>
      </w:r>
    </w:p>
    <w:p>
      <w:r>
        <w:t xml:space="preserve">(1) Wird der Spezial-Investmentanteil veräußert oder wird ein Gewinn aus dem Spezial-Investmentanteil in sonstiger Weise realisiert, so sind</w:t>
      </w:r>
    </w:p>
    <w:p>
      <w:pPr>
        <w:ind w:left="420"/>
      </w:pPr>
      <w:r>
        <w:t xml:space="preserve">1. auf den Anleger-Aktiengewinn § 3 Nummer 40 des Einkommensteuergesetzes, § 8b des Körperschaftsteuergesetzes und § 44 anzuwenden,</w:t>
      </w:r>
    </w:p>
    <w:p>
      <w:pPr>
        <w:ind w:left="420"/>
      </w:pPr>
      <w:r>
        <w:t xml:space="preserve">2. der Anleger-Abkommensgewinn von der Besteuerung freizustellen und § 44 anzuwenden und</w:t>
      </w:r>
    </w:p>
    <w:p>
      <w:pPr>
        <w:ind w:left="420"/>
      </w:pPr>
      <w:r>
        <w:t xml:space="preserve">3. der Anleger-Teilfreistellungsgewinn von der Besteuerung freizustellen und § 44 anzuwenden.</w:t>
      </w:r>
    </w:p>
    <w:p>
      <w:r>
        <w:t xml:space="preserve">Satz 1 ist bei bilanziellem Ansatz der Spezial-Investmentanteile mit einem niedrigeren Teilwert nach § 6 Absatz 1 Nummer 2 Satz 2 des Einkommensteuergesetzes und bei einer Teilwertzuschreibung nach § 6 Absatz 1 Nummer 2 Satz 3 des Einkommensteuergesetzes auf die Anschaffungskosten der Spezial-Investmentanteile entsprechend anzuwenden. Für die Anwendung des § 3 Nummer 40 des Einkommensteuergesetzes und des § 8b des Körperschaftsteuergesetzes gilt § 30 Absatz 3 entsprechend.</w:t>
      </w:r>
    </w:p>
    <w:p>
      <w:r>
        <w:t xml:space="preserve">(2) Der Anleger-Aktiengewinn pro Spezial-Investmentanteil ist, vorbehaltlich einer Berichtigung nach Satz 4 oder 5, der Unterschiedsbetrag zwischen dem Fonds-Aktiengewinn zu dem Zeitpunkt, zu dem der Spezial-Investmentanteil veräußert wird oder zu dem ein Gewinn aus dem Spezial-Investmentanteil in sonstiger Weise realisiert wird oder zu dem er zu bewerten ist, und dem Fonds-Aktiengewinn bei der Anschaffung des Spezial-Investmentanteils. Satz 1 gilt entsprechend für die Ermittlung des Anleger-Abkommensgewinns und des Anleger-Teilfreistellungsgewinns. Bei bilanziellem Ansatz der Spezial-Investmentanteile mit einem niedrigeren Teilwert nach § 6 Absatz 1 Nummer 2 Satz 2 des Einkommensteuergesetzes sind die nach Satz 1 oder 2 ermittelten Unterschiedsbeträge, vorbehaltlich einer Berichtigung nach Satz 4 oder 5, auf die Auswirkung auf den Bilanzansatz begrenzt. Die nach den Sätzen 1 bis 3 ermittelten Unterschiedsbeträge sind jeweils um den zum Schluss des vorangegangenen Wirtschaftsjahres angesetzten Anleger-Aktiengewinn, Anleger-Abkommensgewinn oder Anleger-Teilfreistellungsgewinn zu berichtigen. Die Berichtigungen nach Satz 4 sind bei einer bilanziellen Teilwertzuschreibung nach § 6 Absatz 1 Nummer 2 Satz 3 des Einkommensteuergesetzes auf die Anschaffungskosten der Spezial-Investmentanteile entsprechend anzuwenden. Der nach den Sätzen 1 bis 5 ermittelte Anleger-Aktiengewinn, Anleger-Abkommensgewinn oder Anleger-Teilfreistellungsgewinn kann positiv oder negativ sein.</w:t>
      </w:r>
    </w:p>
    <w:p>
      <w:r>
        <w:t xml:space="preserve">(3) Für die Ermittlung des Gewinns aus der Veräußerung von Spezial-Investmentanteilen, die nicht zu einem Betriebsvermögen gehören, gilt § 20 Absatz 4 des Einkommensteuergesetzes entsprechend. Der Gewinn aus der Veräußerung von Spezial-Investmentanteilen ist</w:t>
      </w:r>
    </w:p>
    <w:p>
      <w:pPr>
        <w:ind w:left="420"/>
      </w:pPr>
      <w:r>
        <w:t xml:space="preserve">1. um die während der Besitzzeit bereits besteuerten ausschüttungsgleichen Erträge zu mindern sowie</w:t>
      </w:r>
    </w:p>
    <w:p>
      <w:pPr>
        <w:ind w:left="420"/>
      </w:pPr>
      <w:r>
        <w:t xml:space="preserve">2. um die auf diese Erträge gezahlten inländischen und ausländischen Steuern, vermindert um die erstattete inländische und ausländische Steuer des Geschäftsjahres oder früherer Geschäftsjahre, zu erhöhen.</w:t>
      </w:r>
    </w:p>
    <w:p>
      <w:r>
        <w:t xml:space="preserve">Ausschüttungsgleiche Erträge, die in einem späteren Geschäftsjahr innerhalb der Besitzzeit ausgeschüttet wurden, sind dem Veräußerungserlös hinzuzurechnen. Des Weiteren ist der Gewinn aus der Veräußerung um die während der Besitzzeit des Anlegers zugeflossenen Substanzbeträge und Absetzungsbeträge zu erhöhen. Zurechnungsbeträge und Immobilien-Zurechnungsbeträge, die nicht an den Anleger ausgeschüttet wurden, mindern den Gewinn aus der Veräußerung.</w:t>
      </w:r>
    </w:p>
    <w:p>
      <w:r>
        <w:t xml:space="preserve">(4) § 15b des Einkommensteuergesetzes ist auf Verluste aus der Veräußerung von Spezial-Investmentanteilen sowie auf Verluste durch Ansatz des niedrigeren Teilwertes bei Spezial-Investmentanteilen entsprechend anzuwenden.</w:t>
      </w:r>
    </w:p>
    <w:p>
      <w:r>
        <w:t xml:space="preserve">(5) Soweit ein unbeschränkt Steuerpflichtiger seine Spezial-Investmentanteile nicht im Betriebsvermögen hält, stehen der Veräußerung von Spezial-Investmentanteilen zum gemeinen Wert gleich</w:t>
      </w:r>
    </w:p>
    <w:p>
      <w:pPr>
        <w:ind w:left="420"/>
      </w:pPr>
      <w:r>
        <w:t xml:space="preserve">1. die Beendigung der unbeschränkten Steuerpflicht des Anlegers infolge der Aufgabe des Wohnsitzes oder des gewöhnlichen Aufenthalts,</w:t>
      </w:r>
    </w:p>
    <w:p>
      <w:pPr>
        <w:ind w:left="420"/>
      </w:pPr>
      <w:r>
        <w:t xml:space="preserve">2. die unentgeltliche Übertragung auf eine nicht unbeschränkt steuerpflichtige Person sowie,</w:t>
      </w:r>
    </w:p>
    <w:p>
      <w:pPr>
        <w:ind w:left="420"/>
      </w:pPr>
      <w:r>
        <w:t xml:space="preserve">3. vorbehaltlich der Nummern 1 und 2, der Ausschluss oder die Beschränkung des Besteuerungsrechts der Bundesrepublik Deutschland hinsichtlich des Gewinns aus der Veräußerung der Spezial-Investmentanteile.</w:t>
      </w:r>
    </w:p>
    <w:p>
      <w:r>
        <w:t xml:space="preserve">Satz 1 ist nur anzuwenden, wenn die Summe der nach Absatz 1 bis 3 und § 56 ermittelten steuerpflichtigen Gewinne insgesamt positiv ist. § 6 Absatz 1 Satz 2 und 3 sowie Absatz 2 bis 5 des Außensteuergesetzes und § 17 Absatz 1 Satz 4 sowie Absatz 2 Satz 3 bis 5 des Einkommensteuergesetzes sind entsprechend anzuwenden. Bei der entsprechenden Anwendung des § 6 Absatz 3 Satz 1 Nummer 2 und Absatz 4 Satz 5 Nummer 5 des Außensteuergesetzes treten die ausgeschütteten und ausschüttungsgleichen Erträge an die Stelle der Gewinnausschüttungen und die Substanzbeträge nach § 35 Absatz 5 an die Stelle der Einlagenrückgewähr. § 6 Absatz 3 Satz 1 des Außensteuergesetzes ist mit der Maßgabe anzuwenden, dass anstatt des Entfalls des Steueranspruchs aufgrund einer nur vorübergehenden Abwesenheit die nach den §§ 49 und 56 ermittelten Gewinne zu dem Zeitpunkt zu berücksichtigen ist, zu dem der Spezial-Investmentanteil tatsächlich veräußert wird oder nach § 52 Absatz 2 Satz 1 als veräußert gilt. Der Spezial-Investmentanteil gilt in den Fällen des Satzes 5 mit Beginn des auf die Veräußerung nach Satz 1 folgenden Tages zum gemeinen Wert als angeschafft. Im Fall des Satzes 1 ist keine Kapitalertragsteuer zu erheben. Der Anleger hat den Spezial-Investmentfonds unverzüglich über die Veräußerung nach Satz 1 und 5 zu informieren.</w:t>
      </w:r>
    </w:p>
    <w:p>
      <w:r>
        <w:rPr>
          <w:color w:val="555555"/>
          <w:sz w:val="17"/>
        </w:rPr>
        <w:t xml:space="preserve">Zitiervorschlag: § 49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