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InvStG 2018 — Anrechnung und Abzug von ausländischer Steuer</w:t>
      </w:r>
    </w:p>
    <w:p>
      <w:r>
        <w:rPr>
          <w:color w:val="555555"/>
          <w:sz w:val="18"/>
        </w:rPr>
        <w:t xml:space="preserve">Investmentsteuergesetz</w:t>
      </w:r>
    </w:p>
    <w:p>
      <w:r>
        <w:rPr>
          <w:color w:val="555555"/>
          <w:sz w:val="18"/>
        </w:rPr>
        <w:t xml:space="preserve">Stand: 10.06.2019 (konsolidierte Textfassung, kein amtliches Inkrafttretensdatum)</w:t>
      </w:r>
    </w:p>
    <w:p>
      <w:r>
        <w:t xml:space="preserve">(1) Enthalten die ausgeschütteten und ausschüttungsgleichen Erträge Einkünfte aus einem ausländischen Staat, die in diesem Staat zu einer Steuer herangezogen wurden, die anrechenbar ist</w:t>
      </w:r>
    </w:p>
    <w:p>
      <w:pPr>
        <w:ind w:left="420"/>
      </w:pPr>
      <w:r>
        <w:t xml:space="preserve">1. nach § 34c Absatz 1 des Einkommensteuergesetzes,</w:t>
      </w:r>
    </w:p>
    <w:p>
      <w:pPr>
        <w:ind w:left="420"/>
      </w:pPr>
      <w:r>
        <w:t xml:space="preserve">2. nach § 26 Absatz 1 des Körperschaftsteuergesetzes oder</w:t>
      </w:r>
    </w:p>
    <w:p>
      <w:pPr>
        <w:ind w:left="420"/>
      </w:pPr>
      <w:r>
        <w:t xml:space="preserve">3. nach einem Abkommen zur Vermeidung der Doppelbesteuerung auf die Einkommensteuer oder Körperschaftsteuer,</w:t>
      </w:r>
    </w:p>
    <w:p>
      <w:r>
        <w:t xml:space="preserve">so ist bei unbeschränkt steuerpflichtigen Anlegern die festgesetzte und gezahlte und um einen entstandenen Ermäßigungsanspruch gekürzte ausländische Steuer auf den Teil der Einkommensteuer oder Körperschaftsteuer anzurechnen, der auf diese ausländischen, um die anteilige ausländische Steuer erhöhten Einkünfte entfällt. Wird von auf ausländische Spezial-Investmentanteile ausgeschütteten oder ausschüttungsgleichen Erträgen in dem Staat, in dem der ausländische Spezial-Investmentfonds ansässig ist, eine Abzugsteuer erhoben, so gilt für deren Anrechnung Satz 1 entsprechend.</w:t>
      </w:r>
    </w:p>
    <w:p>
      <w:r>
        <w:t xml:space="preserve">(2) Zur Ermittlung des Teils der Einkommensteuer oder Körperschaftsteuer, der auf die ausländischen, um die anteilige ausländische Steuer erhöhten Einkünfte nach Absatz 1 entfällt, ist</w:t>
      </w:r>
    </w:p>
    <w:p>
      <w:pPr>
        <w:ind w:left="420"/>
      </w:pPr>
      <w:r>
        <w:t xml:space="preserve">1. bei einkommensteuerpflichtigen Anlegern der durchschnittliche Steuersatz, der sich bei der Veranlagung des zu versteuernden Einkommens, einschließlich der ausländischen Einkünfte, nach den §§ 32a, 32b, 34, 34a und 34b des Einkommensteuergesetzes ergibt, auf die ausländischen Einkünfte anzuwenden,</w:t>
      </w:r>
    </w:p>
    <w:p>
      <w:pPr>
        <w:ind w:left="420"/>
      </w:pPr>
      <w:r>
        <w:t xml:space="preserve">2. bei körperschaftsteuerpflichtigen Anlegern die deutsche Körperschaftsteuer, die sich bei der Veranlagung des zu versteuernden Einkommens, einschließlich der ausländischen Einkünfte, ohne Anwendung der §§ 37 und 38 des Körperschaftsteuergesetzes ergibt, aufzuteilen; die Aufteilung erfolgt nach dem Verhältnis der ausländischen Einkünfte zur Summe der Einkünfte.</w:t>
      </w:r>
    </w:p>
    <w:p>
      <w:r>
        <w:t xml:space="preserve">(3) Der Höchstbetrag der anrechenbaren ausländischen Steuern aus verschiedenen Staaten ist für die ausgeschütteten und ausschüttungsgleichen Erträge aus jedem einzelnen Spezial-Investmentfonds zusammengefasst zu berechnen.</w:t>
      </w:r>
    </w:p>
    <w:p>
      <w:r>
        <w:t xml:space="preserve">(4) § 34c Absatz 1 Satz 3 und 4 sowie Absatz 2, 3 und 6 des Einkommensteuergesetzes ist entsprechend anzuwenden. Der Anrechnung der ausländischen Steuer nach § 34c Absatz 1 des Einkommensteuergesetzes steht bei ausländischen Spezial-Investmentanteilen § 34c Absatz 6 Satz 1 des Einkommensteuergesetzes nicht entgegen.</w:t>
      </w:r>
    </w:p>
    <w:p>
      <w:r>
        <w:t xml:space="preserve">(5) Ausländische Steuern, die auf ausgeschüttete und ausschüttungsgleiche Erträge entfallen, die nach § 43 Absatz 1 steuerfrei sind, sind bei der Anrechnung oder dem Abzug nach Absatz 1 nicht zu berücksichtigen.</w:t>
      </w:r>
    </w:p>
    <w:p>
      <w:r>
        <w:rPr>
          <w:color w:val="555555"/>
          <w:sz w:val="17"/>
        </w:rPr>
        <w:t xml:space="preserve">Zitiervorschlag: § 47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