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InvStG 2018 — Zinsschranke</w:t>
      </w:r>
    </w:p>
    <w:p>
      <w:r>
        <w:rPr>
          <w:color w:val="555555"/>
          <w:sz w:val="18"/>
        </w:rPr>
        <w:t xml:space="preserve">Investmentsteuergesetz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Beim Anleger sind für Zwecke des § 4h Absatz 1 des Einkommensteuergesetzes ausgeschüttete oder ausschüttungsgleiche Erträge, die aus Zinserträgen nach § 4h Absatz 3 Satz 3 des Einkommensteuergesetzes stammen, als Zinserträge zu berücksichtigen. Dies gilt nicht für ausgeschüttete Erträge, die nach § 35 Absatz 6 als Substanzbeträge gelten.</w:t>
      </w:r>
    </w:p>
    <w:p>
      <w:r>
        <w:t xml:space="preserve">(2) Der anzusetzende Zinsertrag mindert sich um die folgenden Abzugsbeträge:</w:t>
      </w:r>
    </w:p>
    <w:p>
      <w:pPr>
        <w:ind w:left="420"/>
      </w:pPr>
      <w:r>
        <w:t xml:space="preserve">1. Direktkosten,</w:t>
      </w:r>
    </w:p>
    <w:p>
      <w:pPr>
        <w:ind w:left="420"/>
      </w:pPr>
      <w:r>
        <w:t xml:space="preserve">2. die nach § 40 den Zinserträgen zuzurechnenden Allgemeinkosten,</w:t>
      </w:r>
    </w:p>
    <w:p>
      <w:pPr>
        <w:ind w:left="420"/>
      </w:pPr>
      <w:r>
        <w:t xml:space="preserve">3. Zinsaufwendungen und</w:t>
      </w:r>
    </w:p>
    <w:p>
      <w:pPr>
        <w:ind w:left="420"/>
      </w:pPr>
      <w:r>
        <w:t xml:space="preserve">4. negative Kapitalerträge nach § 20 Absatz 1 Nummer 7 oder Absatz 2 Satz 1 Nummer 7 des Einkommensteuergesetzes.</w:t>
      </w:r>
    </w:p>
    <w:p>
      <w:r>
        <w:t xml:space="preserve">(3) Übersteigen die Abzugsbeträge den Zinsertrag, so ist die Differenz auf die folgenden Geschäftsjahre des Spezial-Investmentfonds zu übertragen; dies mindert den Zinsertrag der folgenden Geschäftsjahre.</w:t>
      </w:r>
    </w:p>
    <w:p>
      <w:r>
        <w:rPr>
          <w:color w:val="555555"/>
          <w:sz w:val="17"/>
        </w:rPr>
        <w:t xml:space="preserve">Zitiervorschlag: § 46 InvStG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https://recht.nulegal.eu/gesetze/InvStG%202018/46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