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InvStG 2018 — Gewerbesteuer bei Spezial-Investmenterträgen</w:t>
      </w:r>
    </w:p>
    <w:p>
      <w:r>
        <w:rPr>
          <w:color w:val="555555"/>
          <w:sz w:val="18"/>
        </w:rPr>
        <w:t xml:space="preserve">Investmentsteuergesetz</w:t>
      </w:r>
    </w:p>
    <w:p>
      <w:r>
        <w:rPr>
          <w:color w:val="555555"/>
          <w:sz w:val="18"/>
        </w:rPr>
        <w:t xml:space="preserve">Stand: 23.12.2022 (konsolidierte Textfassung, kein amtliches Inkrafttretensdatum)</w:t>
      </w:r>
    </w:p>
    <w:p>
      <w:r>
        <w:t xml:space="preserve">(1) Bei der Ermittlung des Gewerbeertrags nach § 7 des Gewerbesteuergesetzes sind § 42 Absatz 4 sowie § 3 Nummer 40 des Einkommensteuergesetzes und § 8b des Körperschaftsteuergesetzes nicht anzuwenden auf Kapitalerträge nach § 43 Absatz 1 Satz 1 Nummer 1, 1a und 6 sowie Satz 2 des Einkommensteuergesetzes, die in den ausgeschütteten oder ausschüttungsgleichen Erträgen enthalten sind und auf inländische Beteiligungseinnahmen, die dem Anleger nach § 30 Absatz 1 Satz 2 zugerechnet werden. Dies gilt nicht, wenn</w:t>
      </w:r>
    </w:p>
    <w:p>
      <w:pPr>
        <w:ind w:left="420"/>
      </w:pPr>
      <w:r>
        <w:t xml:space="preserve">1. der Schuldner der Kapitalerträge eine Gesellschaft nach § 26 Nummer 6 Satz 2 ist,</w:t>
      </w:r>
    </w:p>
    <w:p>
      <w:pPr>
        <w:ind w:left="420"/>
      </w:pPr>
      <w:r>
        <w:t xml:space="preserve">2. der Anleger dem Körperschaftsteuergesetz unterliegt und kein Institut oder Unternehmen nach § 3 Nummer 40 Satz 3 oder 4 des Einkommensteuergesetzes oder § 8b Absatz 7 oder 8 des Körperschaftsteuergesetzes ist und</w:t>
      </w:r>
    </w:p>
    <w:p>
      <w:pPr>
        <w:ind w:left="420"/>
      </w:pPr>
      <w:r>
        <w:t xml:space="preserve">3. die auf die Spezial-Investmentanteile des Anlegers rechnerisch entfallende Beteiligung am Kapital der Gesellschaft die Voraussetzungen für eine Kürzung nach § 9 Nummer 2a und 7 des Gewerbesteuergesetzes erfüllt.</w:t>
      </w:r>
    </w:p>
    <w:p>
      <w:r>
        <w:t xml:space="preserve">(2) Die nach § 43 Absatz 3 zu gewährenden Teilfreistellungen sind bei der Ermittlung des Gewerbeertrags nach § 7 des Gewerbesteuergesetzes nur zur Hälfte zu berücksichtigen.</w:t>
      </w:r>
    </w:p>
    <w:p>
      <w:r>
        <w:t xml:space="preserve">(3) Die tarifliche Einkommensteuer des Anlegers ermäßigt sich nicht um die vom Spezial-Investmentfonds gezahlte Gewerbesteuer nach § 29 Absatz 1 in Verbindung mit § 15. Die vom Spezial-Investmentfonds gezahlte Gewerbesteuer ist beim Anleger nicht als Betriebsausgabe oder Werbungskosten abziehbar.</w:t>
      </w:r>
    </w:p>
    <w:p>
      <w:r>
        <w:rPr>
          <w:color w:val="555555"/>
          <w:sz w:val="17"/>
        </w:rPr>
        <w:t xml:space="preserve">Zitiervorschlag: § 45 InvStG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https://recht.nulegal.eu/gesetze/InvStG%202018/45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