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InvStG 2018 — Steuerbefreiung aufgrund von Abkommen zur Vermeidung der Doppelbesteuerung und der Teilfreistellung</w:t>
      </w:r>
    </w:p>
    <w:p>
      <w:r>
        <w:rPr>
          <w:color w:val="555555"/>
          <w:sz w:val="18"/>
        </w:rPr>
        <w:t xml:space="preserve">Investmentsteuergesetz</w:t>
      </w:r>
    </w:p>
    <w:p>
      <w:r>
        <w:rPr>
          <w:color w:val="555555"/>
          <w:sz w:val="18"/>
        </w:rPr>
        <w:t xml:space="preserve">Stand: 03.01.2026 (konsolidierte Textfassung, kein amtliches Inkrafttretensdatum)</w:t>
      </w:r>
    </w:p>
    <w:p>
      <w:r>
        <w:t xml:space="preserve">(1) Die ausgeschütteten und ausschüttungsgleichen Erträge sind bei der Veranlagung des Anlegers insoweit von der Bemessungsgrundlage der deutschen Steuer auszunehmen, als sie aus einem ausländischen Staat stammende Einkünfte enthalten, für die die Bundesrepublik Deutschland aufgrund eines Abkommens zur Vermeidung der Doppelbesteuerung auf die Ausübung des Besteuerungsrechts verzichtet hat. Die Steuerfreistellung nach Satz 1 ist ausgeschlossen, wenn die jeweiligen Einkünfte des Spezial-Investmentfonds in dem ausländischen Staat, aus dem sie stammen, keiner tatsächlichen Besteuerung unterlegen haben. Die Sätze 1 und 2 sind nicht auf Erträge nach § 20 Absatz 1 Nummer 1 und 3 des Einkommensteuergesetzes anzuwenden. Satz 3 ist nicht auf Erträge nach § 20 Absatz 1 Nummer 1 des Einkommensteuergesetzes aus einer Gesellschaft im Sinne des § 26 Nummer 6 Satz 2 anzuwenden, soweit</w:t>
      </w:r>
    </w:p>
    <w:p>
      <w:pPr>
        <w:ind w:left="420"/>
      </w:pPr>
      <w:r>
        <w:t xml:space="preserve">1. der Anleger die persönlichen Voraussetzungen für eine Freistellung nach dem Abkommen zur Vermeidung der Doppelbesteuerung erfüllt und</w:t>
      </w:r>
    </w:p>
    <w:p>
      <w:pPr>
        <w:ind w:left="420"/>
      </w:pPr>
      <w:r>
        <w:t xml:space="preserve">2. die auf die Spezial-Investmentanteile des Anlegers rechnerisch entfallende Beteiligung am Kapital der Gesellschaft die Voraussetzungen für eine Freistellung nach dem Abkommen zur Vermeidung der Doppelbesteuerung erfüllt.</w:t>
      </w:r>
    </w:p>
    <w:p>
      <w:r>
        <w:t xml:space="preserve">(2) (weggefallen)</w:t>
      </w:r>
    </w:p>
    <w:p>
      <w:r>
        <w:t xml:space="preserve">(3) Auf ausgeschüttete oder ausschüttungsgleiche Erträge, die aus Ausschüttungen von Investmentfonds, Vorabpauschalen oder Gewinnen aus der Veräußerung von Investmentanteilen stammen, ist die Teilfreistellung nach § 20 entsprechend anzuwenden.</w:t>
      </w:r>
    </w:p>
    <w:p>
      <w:r>
        <w:rPr>
          <w:color w:val="555555"/>
          <w:sz w:val="17"/>
        </w:rPr>
        <w:t xml:space="preserve">Zitiervorschlag: § 43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