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InvStG 2018 — Steuerbefreiung von Beteiligungseinkünften und inländischen Immobilienerträgen</w:t>
      </w:r>
    </w:p>
    <w:p>
      <w:r>
        <w:rPr>
          <w:color w:val="555555"/>
          <w:sz w:val="18"/>
        </w:rPr>
        <w:t xml:space="preserve">Investmentsteuergesetz</w:t>
      </w:r>
    </w:p>
    <w:p>
      <w:r>
        <w:rPr>
          <w:color w:val="555555"/>
          <w:sz w:val="18"/>
        </w:rPr>
        <w:t xml:space="preserve">Stand: 23.12.2022 (konsolidierte Textfassung, kein amtliches Inkrafttretensdatum)</w:t>
      </w:r>
    </w:p>
    <w:p>
      <w:r>
        <w:t xml:space="preserve">(1) Soweit die ausgeschütteten und ausschüttungsgleichen Erträge Kapitalerträge nach § 43 Absatz 1 Satz 1 Nummer 6 und 9 sowie Satz 2 des Einkommensteuergesetzes enthalten, ist § 3 Nummer 40 des Einkommensteuergesetzes anzuwenden. Satz 1 gilt nicht für Gewinne aus der Veräußerung von Anteilen an Investmentfonds im Sinne des § 16 Absatz 1 Nummer 3 in Verbindung mit § 2 Absatz 13 und in den Fällen des § 30 Absatz 3 Satz 1 Nummer 1 und 2 sowie Satz 2.</w:t>
      </w:r>
    </w:p>
    <w:p>
      <w:r>
        <w:t xml:space="preserve">(2) Soweit die ausgeschütteten und ausschüttungsgleichen Erträge Kapitalerträge nach § 43 Absatz 1 Satz 1 Nummer 6 sowie Satz 2 des Einkommensteuergesetzes enthalten, ist § 8b des Körperschaftsteuergesetzes unter den Voraussetzungen des § 30 Absatz 2 anwendbar. Soweit die ausgeschütteten und ausschüttungsgleichen Erträge Kapitalerträge nach § 43 Absatz 1 Satz 1 Nummer 9 sowie Satz 2 des Einkommensteuergesetzes enthalten, ist § 8b des Körperschaftsteuergesetzes anwendbar. Satz 2 gilt nicht für Gewinne aus der Veräußerung von Anteilen an Investmentfonds im Sinne des § 16 Absatz 1 Nummer 3 in Verbindung mit § 2 Absatz 13 und in den Fällen des § 30 Absatz 3 Satz 1 Nummer 1 und 2 sowie Satz 2.</w:t>
      </w:r>
    </w:p>
    <w:p>
      <w:r>
        <w:t xml:space="preserve">(3) Die Absätze 1 und 2 sind nicht anzuwenden, wenn es sich um Kapitalerträge nach § 43 Absatz 1 Satz 1 Nummer 6 und 9 sowie Satz 2 des Einkommensteuergesetzes aus einer steuerlich nicht vorbelasteten Körperschaft, Personenvereinigung oder Vermögensmasse handelt. Als steuerlich nicht vorbelastet gelten Körperschaften, Personenvereinigungen oder Vermögensmassen, die keiner Ertragsbesteuerung unterliegen, von der Ertragsbesteuerung persönlich befreit sind oder sachlich insoweit von der Ertragsbesteuerung befreit sind, wie sie Ausschüttungen vornehmen. Satz 1 ist nicht auf vorbelastete REIT-Dividenden nach § 19a des REIT-Gesetzes anzuwenden.</w:t>
      </w:r>
    </w:p>
    <w:p>
      <w:r>
        <w:t xml:space="preserve">(4) Sind in den ausgeschütteten oder ausschüttungsgleichen Erträgen inländische Beteiligungseinnahmen enthalten, die von dem Spezial-Investmentfonds versteuert wurden, so sind 60 Prozent dieser ausgeschütteten oder ausschüttungsgleichen Erträge steuerfrei. Abweichend von Satz 1 sind die in ausgeschütteten oder ausschüttungsgleichen Erträgen enthaltenen inländischen Beteiligungseinnahmen vollständig steuerbefreit, wenn</w:t>
      </w:r>
    </w:p>
    <w:p>
      <w:pPr>
        <w:ind w:left="420"/>
      </w:pPr>
      <w:r>
        <w:t xml:space="preserve">1. der Anleger dem Körperschaftsteuergesetz unterliegt und</w:t>
      </w:r>
    </w:p>
    <w:p>
      <w:pPr>
        <w:ind w:left="420"/>
      </w:pPr>
      <w:r>
        <w:t xml:space="preserve">2. dem Spezial-Investmentfonds kein Ermäßigungsanspruch aus einem Abkommen zur Vermeidung der Doppelbesteuerung aufgrund eines Quellensteuerhöchstsatzes von unter 15 Prozent zusteht.</w:t>
      </w:r>
    </w:p>
    <w:p>
      <w:r>
        <w:t xml:space="preserve">(5) Sind in den ausgeschütteten oder ausschüttungsgleichen Erträgen inländische Immobilienerträge oder sonstige inländische Einkünfte enthalten, die auf Ebene des Spezial-Investmentfonds der Körperschaftsteuer unterlegen haben, so sind 20 Prozent dieser ausgeschütteten oder ausschüttungsgleichen Erträge steuerfrei. Absatz 4 Satz 2 ist entsprechend anzuwenden.</w:t>
      </w:r>
    </w:p>
    <w:p>
      <w:r>
        <w:rPr>
          <w:color w:val="555555"/>
          <w:sz w:val="17"/>
        </w:rPr>
        <w:t xml:space="preserve">Zitiervorschlag: § 42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