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InvStG 2018 — Verlustverrechnung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Negative Erträge des Spezial-Investmentfonds sind mit positiven Erträgen gleicher Art bis zu deren Höhe auszugleichen. Die Gleichartigkeit ist gegeben, wenn die gleichen steuerlichen Wirkungen beim Anleger eintreten.</w:t>
      </w:r>
    </w:p>
    <w:p>
      <w:r>
        <w:t xml:space="preserve">(2) Nicht ausgeglichene negative Erträge sind in den folgenden Geschäftsjahren abzuziehen. § 10d Absatz 4 des Einkommensteuergesetzes gilt entsprechend. Nicht ausgeglichene negative Erträge sind nicht abziehbar, soweit ein Anleger seine Spezial-Investmentanteile veräußert.</w:t>
      </w:r>
    </w:p>
    <w:p>
      <w:r>
        <w:rPr>
          <w:color w:val="555555"/>
          <w:sz w:val="17"/>
        </w:rPr>
        <w:t xml:space="preserve">Zitiervorschlag: § 41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