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InvStG 2018 — Zuständige Finanzbehörden, Verordnungsermächtigung</w:t>
      </w:r>
    </w:p>
    <w:p>
      <w:r>
        <w:rPr>
          <w:color w:val="555555"/>
          <w:sz w:val="18"/>
        </w:rPr>
        <w:t xml:space="preserve">Investmentsteuergesetz</w:t>
      </w:r>
    </w:p>
    <w:p>
      <w:r>
        <w:rPr>
          <w:color w:val="555555"/>
          <w:sz w:val="18"/>
        </w:rPr>
        <w:t xml:space="preserve">Stand: 14.03.2026 (konsolidierte Textfassung, kein amtliches Inkrafttretensdatum)</w:t>
      </w:r>
    </w:p>
    <w:p>
      <w:r>
        <w:t xml:space="preserve">(1) Für die Besteuerung von Investmentfonds ist das Finanzamt örtlich zuständig, in dessen Bezirk sich die Geschäftsleitung des gesetzlichen Vertreters nach § 3 befindet.</w:t>
      </w:r>
    </w:p>
    <w:p>
      <w:r>
        <w:t xml:space="preserve">(2) Befindet sich die Geschäftsleitung des gesetzlichen Vertreters außerhalb des Geltungsbereichs dieses Gesetzes, so ist für die Besteuerung des Investmentfonds zuständig</w:t>
      </w:r>
    </w:p>
    <w:p>
      <w:pPr>
        <w:ind w:left="420"/>
      </w:pPr>
      <w:r>
        <w:t xml:space="preserve">1. das Finanzamt, in dessen Bezirk sich das Vermögen des Investmentfonds oder, wenn dies für mehrere Finanzämter zutrifft, das Finanzamt, in dessen Bezirk sich der wertvollste Teil des Vermögens befindet, sofern der Investmentfonds Einkünfte nach § 6 Absatz 2 erzielt, die keinem Steuerabzug unterliegen,</w:t>
      </w:r>
    </w:p>
    <w:p>
      <w:pPr>
        <w:ind w:left="420"/>
      </w:pPr>
      <w:r>
        <w:t xml:space="preserve">1a. das Finanzamt, das in den Fällen des § 6 Absatz 4 Satz 1 Nummer 4 in Verbindung mit § 49 Absatz 1 Nummer 2 Buchstabe e Doppelbuchstabe cc des Einkommensteuergesetzes für die Besteuerung der Kapitalgesellschaft nach § 20 Absatz 3 der Abgabenordnung zuständig ist, sofern sich keine Zuständigkeit nach Nummer 1 ergibt. Wenn dies für mehrere Finanzämter zutrifft, ist das Finanzamt zuständig, das für die wertvollste Beteiligung zuständig ist,</w:t>
      </w:r>
    </w:p>
    <w:p>
      <w:pPr>
        <w:ind w:left="420"/>
      </w:pPr>
      <w:r>
        <w:t xml:space="preserve">2. das Bundeszentralamt für Steuern in allen übrigen Fällen.</w:t>
      </w:r>
    </w:p>
    <w:p>
      <w:r>
        <w:t xml:space="preserve">(3) Das Bundesministerium der Finanzen kann durch Rechtsverordnung mit Zustimmung des Bundesrates die Zuständigkeit nach Absatz 2 Nummer 2 und nach § 9 Absatz 1 Nummer 2 einer anderen Finanzbehörde oder mehreren anderen Finanzbehörden übertragen.</w:t>
      </w:r>
    </w:p>
    <w:p>
      <w:r>
        <w:rPr>
          <w:color w:val="555555"/>
          <w:sz w:val="17"/>
        </w:rPr>
        <w:t xml:space="preserve">Zitiervorschlag: § 4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