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InvStG 2018 — Werbungskosten, Abzug der Direktkosten</w:t>
      </w:r>
    </w:p>
    <w:p>
      <w:r>
        <w:rPr>
          <w:color w:val="555555"/>
          <w:sz w:val="18"/>
        </w:rPr>
        <w:t xml:space="preserve">Investmentsteuergesetz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Werbungskosten des Spezial-Investmentfonds, die in einem unmittelbaren wirtschaftlichen Zusammenhang mit Einnahmen stehen, sind Direktkosten. Zu den Direktkosten gehören auch Absetzungen für Abnutzung oder Substanzverringerung bis zur Höhe der nach § 7 des Einkommensteuergesetzes zulässigen Beträge. Die übrigen Werbungskosten des Spezial-Investmentfonds sind Allgemeinkosten.</w:t>
      </w:r>
    </w:p>
    <w:p>
      <w:r>
        <w:t xml:space="preserve">(2) Direktkosten, die in einem unmittelbaren wirtschaftlichen Zusammenhang mit Einnahmen nach § 20 Absatz 1 Nummer 1 oder Absatz 2 Satz 1 Nummer 1 des Einkommensteuergesetzes stehen, sind ausschließlich den Einnahmen nach § 20 Absatz 2 Satz 1 Nummer 1 des Einkommensteuergesetzes zuzuordnen. Liegen keine Einnahmen nach § 20 Absatz 2 Satz 1 Nummer 1 des Einkommensteuergesetzes vor oder sind die Einnahmen niedriger als die Werbungskosten, so hat der Spezial-Investmentfonds Verlustvorträge zu bilden.</w:t>
      </w:r>
    </w:p>
    <w:p>
      <w:r>
        <w:t xml:space="preserve">(3) Verluste aus Finanzderivaten sind als Direktkosten bei den Einnahmen nach § 20 Absatz 2 Satz 1 Nummer 1 des Einkommensteuergesetzes abzuziehen, wenn der Spezial-Investmentfonds im Rahmen einer konzeptionellen Gestaltung Verluste aus Finanzderivaten und in gleicher oder ähnlicher Höhe Einnahmen nach § 20 Absatz 2 Satz 1 Nummer 1 des Einkommensteuergesetzes herbeigeführt hat.</w:t>
      </w:r>
    </w:p>
    <w:p>
      <w:r>
        <w:t xml:space="preserve">(4) Die nach der Zuordnung nach den Absätzen 2 und 3 verbleibenden Direktkosten sind von den jeweiligen Einnahmen abzuziehen.</w:t>
      </w:r>
    </w:p>
    <w:p>
      <w:r>
        <w:rPr>
          <w:color w:val="555555"/>
          <w:sz w:val="17"/>
        </w:rPr>
        <w:t xml:space="preserve">Zitiervorschlag: § 39 InvStG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https://recht.nulegal.eu/gesetze/InvStG%202018/39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