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InvStG 2018 — Vereinnahmung und Verausgabung</w:t>
      </w:r>
    </w:p>
    <w:p>
      <w:r>
        <w:rPr>
          <w:color w:val="555555"/>
          <w:sz w:val="18"/>
        </w:rPr>
        <w:t xml:space="preserve">Investmentsteuergesetz</w:t>
      </w:r>
    </w:p>
    <w:p>
      <w:r>
        <w:rPr>
          <w:color w:val="555555"/>
          <w:sz w:val="18"/>
        </w:rPr>
        <w:t xml:space="preserve">Stand: 10.06.2019 (konsolidierte Textfassung, kein amtliches Inkrafttretensdatum)</w:t>
      </w:r>
    </w:p>
    <w:p>
      <w:r>
        <w:t xml:space="preserve">(1) § 11 des Einkommensteuergesetzes ist nach Maßgabe der folgenden Absätze anzuwenden.</w:t>
      </w:r>
    </w:p>
    <w:p>
      <w:r>
        <w:t xml:space="preserve">(2) Dividenden gelten bereits am Tag des Dividendenabschlags als zugeflossen.</w:t>
      </w:r>
    </w:p>
    <w:p>
      <w:r>
        <w:t xml:space="preserve">(3) Periodengerecht abzugrenzen sind</w:t>
      </w:r>
    </w:p>
    <w:p>
      <w:pPr>
        <w:ind w:left="420"/>
      </w:pPr>
      <w:r>
        <w:t xml:space="preserve">1. Zinsen und angewachsene Ansprüche einer sonstigen Kapitalforderung nach § 20 Absatz 1 Nummer 7 des Einkommensteuergesetzes, wenn die Kapitalforderung eine Emissionsrendite hat oder bei ihr das Stammrecht und der Zinsschein getrennt wurden,</w:t>
      </w:r>
    </w:p>
    <w:p>
      <w:pPr>
        <w:ind w:left="420"/>
      </w:pPr>
      <w:r>
        <w:t xml:space="preserve">2. angewachsene Ansprüche aus einem Emissions-Agio oder -Disagio und</w:t>
      </w:r>
    </w:p>
    <w:p>
      <w:pPr>
        <w:ind w:left="420"/>
      </w:pPr>
      <w:r>
        <w:t xml:space="preserve">3. Mieten.</w:t>
      </w:r>
    </w:p>
    <w:p>
      <w:r>
        <w:t xml:space="preserve">Die angewachsenen Ansprüche sind mit der Emissionsrendite anzusetzen, sofern diese leicht und eindeutig ermittelbar ist. Anderenfalls ist der Unterschiedsbetrag zwischen dem Marktwert zum Ende des Geschäftsjahres und dem Marktwert zu Beginn des Geschäftsjahres oder im Falle des Erwerbs innerhalb des Geschäftsjahres der Unterschiedsbetrag zwischen dem Marktwert zum Ende des Geschäftsjahres und den Anschaffungskosten als Zins (Marktrendite) anzusetzen. Die abgegrenzten Zinsen, angewachsenen Ansprüche und Mieten gelten als zugeflossen.</w:t>
      </w:r>
    </w:p>
    <w:p>
      <w:r>
        <w:t xml:space="preserve">(4) Periodengerecht abgegrenzte Werbungskosten gelten als abgeflossen, soweit der tatsächliche Abfluss im folgenden Geschäftsjahr erfolgt.</w:t>
      </w:r>
    </w:p>
    <w:p>
      <w:r>
        <w:t xml:space="preserve">(5) Gewinnanteile des Spezial-Investmentfonds an einer Personengesellschaft gehören zu den Erträgen des Geschäftsjahres, in dem das Wirtschaftsjahr der Personengesellschaft endet.</w:t>
      </w:r>
    </w:p>
    <w:p>
      <w:r>
        <w:t xml:space="preserve">(6) Wird ein Zinsschein oder eine Zinsforderung vom Stammrecht abgetrennt, gilt dies als Veräußerung der Schuldverschreibung und als Anschaffung der durch die Trennung entstandenen Wirtschaftsgüter. Die Trennung gilt als vollzogen, wenn dem Inhaber der Schuldverschreibung die Wertpapierkennnummern für die durch die Trennung entstandenen Wirtschaftsgüter zugehen. Als Veräußerungserlös der Schuldverschreibung gilt deren gemeiner Wert zum Zeitpunkt der Trennung. Für die Ermittlung der Anschaffungskosten der neuen Wirtschaftsgüter ist der Wert nach Satz 3 entsprechend dem gemeinen Wert der neuen Wirtschaftsgüter aufzuteilen. Die Erträge des Stammrechts sind in sinngemäßer Anwendung des Absatzes 3 periodengerecht abzugrenzen.</w:t>
      </w:r>
    </w:p>
    <w:p>
      <w:r>
        <w:t xml:space="preserve">(7) Wird eine sonstige Kapitalforderung im Sinne des § 20 Absatz 1 Nummer 7 des Einkommensteuergesetzes gegen Anteile an einer Körperschaft, Vermögensmasse oder Personenvereinigung getauscht, bemessen sich die Anschaffungskosten der Anteile nach dem gemeinen Wert der sonstigen Kapitalforderung. § 20 Absatz 4a des Einkommensteuergesetzes findet keine Anwendung.</w:t>
      </w:r>
    </w:p>
    <w:p>
      <w:r>
        <w:t xml:space="preserve">(8) Die abgegrenzten Zinsen, angewachsenen Ansprüche und Mieten sowie die Erträge nach Absatz 6 Satz 5 gehören zu den ausgeschütteten und ausschüttungsgleichen Erträgen.</w:t>
      </w:r>
    </w:p>
    <w:p>
      <w:r>
        <w:rPr>
          <w:color w:val="555555"/>
          <w:sz w:val="17"/>
        </w:rPr>
        <w:t xml:space="preserve">Zitiervorschlag: § 38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