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37 InvStG 2018 — Ermittlung der Einkünfte</w:t>
      </w:r>
    </w:p>
    <w:p>
      <w:r>
        <w:rPr>
          <w:color w:val="555555"/>
          <w:sz w:val="18"/>
        </w:rPr>
        <w:t xml:space="preserve">Investmentsteuergesetz</w:t>
      </w:r>
    </w:p>
    <w:p>
      <w:r>
        <w:rPr>
          <w:color w:val="555555"/>
          <w:sz w:val="18"/>
        </w:rPr>
        <w:t xml:space="preserve">Stand: 03.01.2026 (konsolidierte Textfassung, kein amtliches Inkrafttretensdatum)</w:t>
      </w:r>
    </w:p>
    <w:p>
      <w:r>
        <w:t xml:space="preserve">(1) Der Spezial-Investmentfonds ermittelt die Einkünfte des Spezial-Investmentfonds entsprechend § 2 Absatz 2 Satz 1 Nummer 2 und § 23 Absatz 3 des Einkommensteuergesetzes und gliedert sie nach den steuerlichen Wirkungen beim Anleger. Dabei sind insbesondere die Einkünfte gesondert auszuweisen, bei denen beim Anleger die Regelungen nach den §§ 42 bis 47 zur Anwendung kommen. Hinzurechnungsbeträge nach § 10 des Außensteuergesetzes sind nicht in die Ermittlung der Einkünfte nach Satz 1 einzubeziehen.</w:t>
      </w:r>
    </w:p>
    <w:p>
      <w:r>
        <w:t xml:space="preserve">(2) Spezial-Investmenterträge, die einem Dach-Spezial-Investmentfonds zufließen oder die als zugeflossen gelten, sind nach der Art der Einkünfte des Ziel-Spezial-Investmentfonds und nach den steuerlichen Wirkungen bei den Anlegern des Dach-Spezial-Investmentfonds zu gliedern, sofern in Kapitel 3 keine abweichenden Bestimmungen getroffen werden. Bei der Gliederung nach Satz 1 sind die Spezial-Investmenterträge nach § 34 Absatz 1 Nummer 1 und 2 nicht als steuerfrei thesaurierbare Kapitalerträge im Sinne des § 36 Absatz 2 anzusetzen.</w:t>
      </w:r>
    </w:p>
    <w:p>
      <w:r>
        <w:t xml:space="preserve">(3) Absetzungsbeträge, die einem Dach-Spezial-Investmentfonds zufließen, können von diesem unter den Voraussetzungen des § 35 Absatz 4 Satz 2 als Absetzungsbeträge ausgeschüttet werden. Zurechnungsbeträge und Immobilien-Zurechnungsbeträge, die einem Dach-Spezial-Investmentfonds zufließen, stehen diesem nicht als solche Beträge zur Ausschüttung zur Verfügung.</w:t>
      </w:r>
    </w:p>
    <w:p>
      <w:r>
        <w:rPr>
          <w:color w:val="555555"/>
          <w:sz w:val="17"/>
        </w:rPr>
        <w:t xml:space="preserve">Zitiervorschlag: § 37 InvStG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https://recht.nulegal.eu/gesetze/InvStG%202018/37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