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InvStG 2018 — Spezial-Investmenterträge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Erträge aus Spezial-Investmentfonds (Spezial-Investmenterträge) sind</w:t>
      </w:r>
    </w:p>
    <w:p>
      <w:pPr>
        <w:ind w:left="420"/>
      </w:pPr>
      <w:r>
        <w:t xml:space="preserve">1. ausgeschüttete Erträge nach § 35,</w:t>
      </w:r>
    </w:p>
    <w:p>
      <w:pPr>
        <w:ind w:left="420"/>
      </w:pPr>
      <w:r>
        <w:t xml:space="preserve">2. ausschüttungsgleiche Erträge nach § 36 Absatz 1 und</w:t>
      </w:r>
    </w:p>
    <w:p>
      <w:pPr>
        <w:ind w:left="420"/>
      </w:pPr>
      <w:r>
        <w:t xml:space="preserve">3. Gewinne aus der Veräußerung von Spezial-Investmentanteilen nach § 49.</w:t>
      </w:r>
    </w:p>
    <w:p>
      <w:r>
        <w:t xml:space="preserve">(2) Auf Spezial-Investmenterträge sind § 2 Absatz 5b, § 20 Absatz 6 und 9, die §§ 32d und 43 Absatz 5 Satz 1 des Einkommensteuergesetzes nicht anzuwenden. § 3 Nummer 40 des Einkommensteuergesetzes und § 8b des Körperschaftsteuergesetzes sind vorbehaltlich des § 42 nicht anzuwenden.</w:t>
      </w:r>
    </w:p>
    <w:p>
      <w:r>
        <w:t xml:space="preserve">(3) Die Freistellung von ausgeschütteten und ausschüttungsgleichen Erträgen aufgrund eines Abkommens zur Vermeidung der Doppelbesteuerung richtet sich nach § 43 Absatz 1. Ungeachtet von Abkommen zur Vermeidung der Doppelbesteuerung wird die Freistellung von Ausschüttungen eines ausländischen Spezial-Investmentfonds nur unter den Voraussetzungen des § 16 Absatz 4 gewährt.</w:t>
      </w:r>
    </w:p>
    <w:p>
      <w:r>
        <w:rPr>
          <w:color w:val="555555"/>
          <w:sz w:val="17"/>
        </w:rPr>
        <w:t xml:space="preserve">Zitiervorschlag: § 34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