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InvStG 2018 — Haftung bei ausgeübter Transparenzoption</w:t>
      </w:r>
    </w:p>
    <w:p>
      <w:r>
        <w:rPr>
          <w:color w:val="555555"/>
          <w:sz w:val="18"/>
        </w:rPr>
        <w:t xml:space="preserve">Investmentsteuergesetz</w:t>
      </w:r>
    </w:p>
    <w:p>
      <w:r>
        <w:rPr>
          <w:color w:val="555555"/>
          <w:sz w:val="18"/>
        </w:rPr>
        <w:t xml:space="preserve">Stand: 10.06.2019 (konsolidierte Textfassung, kein amtliches Inkrafttretensdatum)</w:t>
      </w:r>
    </w:p>
    <w:p>
      <w:r>
        <w:t xml:space="preserve">(1) Der Entrichtungspflichtige haftet für die Steuer, die bei ausgeübter Transparenzoption zu Unrecht nicht erhoben oder erstattet wurde. Die Haftung ist ausgeschlossen, soweit der Entrichtungspflichtige nachweist, dass er die ihm auferlegten Pflichten weder vorsätzlich noch grob fahrlässig verletzt hat.</w:t>
      </w:r>
    </w:p>
    <w:p>
      <w:r>
        <w:t xml:space="preserve">(2) Der Anleger haftet für die Steuer, die bei ausgeübter Transparenzoption zu Unrecht nicht erhoben oder erstattet wurde, wenn die Haftung nach Absatz 1 ausgeschlossen oder die Haftungsschuld uneinbringlich ist.</w:t>
      </w:r>
    </w:p>
    <w:p>
      <w:r>
        <w:t xml:space="preserve">(3) Der gesetzliche Vertreter des Spezial-Investmentfonds haftet für die Steuer, die bei ausgeübter Transparenzoption zu Unrecht nicht erhoben oder erstattet wurde, wenn die Haftung nach den Absätzen 1 und 2 ausgeschlossen oder die Haftungsschuld uneinbringlich ist. Die Haftung setzt voraus, dass der gesetzliche Vertreter zum Zeitpunkt der Abstandnahme vom Steuerabzug oder der Erstattung von Kapitalertragsteuer Kenntnis von den fehlenden Voraussetzungen für eine Abstandnahme oder Erstattung hatte und dies dem Entrichtungspflichtigen nicht mitgeteilt hat.</w:t>
      </w:r>
    </w:p>
    <w:p>
      <w:r>
        <w:rPr>
          <w:color w:val="555555"/>
          <w:sz w:val="17"/>
        </w:rPr>
        <w:t xml:space="preserve">Zitiervorschlag: § 32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