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31 InvStG 2018 — Steuerabzug und Steueranrechnung bei Ausübung der Transparenzoption</w:t>
      </w:r>
    </w:p>
    <w:p>
      <w:r>
        <w:rPr>
          <w:color w:val="555555"/>
          <w:sz w:val="18"/>
        </w:rPr>
        <w:t xml:space="preserve">Investmentsteuergesetz</w:t>
      </w:r>
    </w:p>
    <w:p>
      <w:r>
        <w:rPr>
          <w:color w:val="555555"/>
          <w:sz w:val="18"/>
        </w:rPr>
        <w:t xml:space="preserve">Stand: 10.01.2020 (konsolidierte Textfassung, kein amtliches Inkrafttretensdatum)</w:t>
      </w:r>
    </w:p>
    <w:p>
      <w:r>
        <w:t xml:space="preserve">(1) Nimmt ein Spezial-Investmentfonds die Transparenzoption wahr, so sind die Regelungen des Einkommensteuergesetzes zum Steuerabzug vom Kapitalertrag so anzuwenden, als ob dem jeweiligen Anleger die inländischen Beteiligungseinnahmen oder die sonstigen inländischen Einkünfte unmittelbar selbst zugeflossen wären. In den Steuerbescheinigungen sind neben den nach § 45a des Einkommensteuergesetzes erforderlichen Angaben zusätzlich anzugeben:</w:t>
      </w:r>
    </w:p>
    <w:p>
      <w:pPr>
        <w:ind w:left="420"/>
      </w:pPr>
      <w:r>
        <w:t xml:space="preserve">1. Name und Anschrift des Spezial-Investmentfonds als Zahlungsempfänger,</w:t>
      </w:r>
    </w:p>
    <w:p>
      <w:pPr>
        <w:ind w:left="420"/>
      </w:pPr>
      <w:r>
        <w:t xml:space="preserve">2. Zurechnungszeitpunkt des Kapitalertrags,</w:t>
      </w:r>
    </w:p>
    <w:p>
      <w:pPr>
        <w:ind w:left="420"/>
      </w:pPr>
      <w:r>
        <w:t xml:space="preserve">3. Name und Anschrift der am Spezial-Investmentfonds beteiligten Anleger als Gläubiger der Kapitalerträge,</w:t>
      </w:r>
    </w:p>
    <w:p>
      <w:pPr>
        <w:ind w:left="420"/>
      </w:pPr>
      <w:r>
        <w:t xml:space="preserve">4. Gesamtzahl der Anteile des Spezial-Investmentfonds und Anzahl der Anteile der einzelnen Anleger jeweils zum Zurechnungszeitpunkt sowie</w:t>
      </w:r>
    </w:p>
    <w:p>
      <w:pPr>
        <w:ind w:left="420"/>
      </w:pPr>
      <w:r>
        <w:t xml:space="preserve">5. Anteile der einzelnen Anleger an der Kapitalertragsteuer.</w:t>
      </w:r>
    </w:p>
    <w:p>
      <w:r>
        <w:t xml:space="preserve">Zurechnungszeitpunkt ist der Tag, an dem die jeweiligen Kapitalerträge dem Spezial-Investmentfonds zugerechnet werden; dies ist bei Kapitalerträgen nach § 43 Absatz 1 Satz 1 Nummer 1 und 1a des Einkommensteuergesetzes der Tag des Gewinnverteilungsbeschlusses.</w:t>
      </w:r>
    </w:p>
    <w:p>
      <w:r>
        <w:t xml:space="preserve">(2) Wird vom Steuerabzug Abstand genommen oder wird die Steuer erstattet, so hat der Spezial-Investmentfonds die Beträge an diejenigen Anleger auszuzahlen, bei denen die Voraussetzungen für eine Abstandnahme oder Erstattung vorliegen.</w:t>
      </w:r>
    </w:p>
    <w:p>
      <w:r>
        <w:t xml:space="preserve">(3) Die auf Kapitalerträge im Sinne des § 43 Absatz 1 Satz 1 Nummer 1a oder des § 36a Absatz 1 Satz 4 des Einkommensteuergesetzes bei Ausübung der Transparenzoption erhobene Kapitalertragsteuer wird auf die Einkommen- oder Körperschaftsteuer des Anlegers angerechnet, wenn</w:t>
      </w:r>
    </w:p>
    <w:p>
      <w:pPr>
        <w:ind w:left="420"/>
      </w:pPr>
      <w:r>
        <w:t xml:space="preserve">1. der Spezial-Investmentfonds die Voraussetzungen für eine Anrechenbarkeit nach § 36a Absatz 1 bis 3 des Einkommensteuergesetzes erfüllt und</w:t>
      </w:r>
    </w:p>
    <w:p>
      <w:pPr>
        <w:ind w:left="420"/>
      </w:pPr>
      <w:r>
        <w:t xml:space="preserve">2. der Anleger innerhalb eines Zeitraums von 45 Tagen vor und 45 Tagen nach dem Zurechnungszeitpunkt mindestens 45 Tage ununterbrochen wirtschaftlicher Eigentümer der Spezial-Investmentanteile ist (Mindesthaltedauer), der Anleger während der Mindesthaltedauer unter Berücksichtigung von gegenläufigen Ansprüchen und von Ansprüchen nahestehender Personen ununterbrochen das volle Risiko eines sinkenden Wertes der Spezial-Investmentanteile trägt und nicht verpflichtet ist, den ihm nach § 30 Absatz 1 unmittelbar zugerechneten Kapitalertrag ganz oder überwiegend, unmittelbar oder mittelbar anderen Personen zu vergüten.</w:t>
      </w:r>
    </w:p>
    <w:p>
      <w:r>
        <w:t xml:space="preserve">Fehlen die Voraussetzungen des Satzes 1, so sind drei Fünftel der Kapitalertragsteuer nicht anzurechnen. Die Sätze 1 und 2 sind nicht anzuwenden, wenn</w:t>
      </w:r>
    </w:p>
    <w:p>
      <w:pPr>
        <w:ind w:left="420"/>
      </w:pPr>
      <w:r>
        <w:t xml:space="preserve">1. die Kapitalerträge des Anlegers im Sinne des § 43 Absatz 1 Satz 1 Nummer 1a und des § 36a Absatz 1 Satz 4 des Einkommensteuergesetzes im Veranlagungszeitraum nicht mehr als 20 000 Euro betragen oder</w:t>
      </w:r>
    </w:p>
    <w:p>
      <w:pPr>
        <w:ind w:left="420"/>
      </w:pPr>
      <w:r>
        <w:t xml:space="preserve">2. der Spezial-Investmentfonds im Zurechnungszeitpunkt seit mindestens einem Jahr ununterbrochen wirtschaftlicher Eigentümer der Aktien oder Genussscheine ist und der Anleger im Zurechnungszeitpunkt seit mindestens einem Jahr ununterbrochen wirtschaftlicher Eigentümer der Spezial-Investmentanteile ist.</w:t>
      </w:r>
    </w:p>
    <w:p>
      <w:r>
        <w:t xml:space="preserve">Ein Spezial-Investmentfonds und der an ihm beteiligte Anleger gelten unabhängig von dem Beteiligungsumfang als einander nahestehende Personen im Sinne des Satzes 1 und des § 36a Absatz 3 des Einkommensteuergesetzes. Wurde für einen Anleger kein Steuerabzug vorgenommen oder ein Steuerabzug erstattet und liegen die Voraussetzungen des Satzes 1 nicht vor, ist der Anleger verpflichtet,</w:t>
      </w:r>
    </w:p>
    <w:p>
      <w:pPr>
        <w:ind w:left="420"/>
      </w:pPr>
      <w:r>
        <w:t xml:space="preserve">1. dies gegenüber seinem zuständigen Finanzamt anzuzeigen,</w:t>
      </w:r>
    </w:p>
    <w:p>
      <w:pPr>
        <w:ind w:left="420"/>
      </w:pPr>
      <w:r>
        <w:t xml:space="preserve">2. Kapitalertragsteuer in Höhe von 15 Prozent der Kapitalerträge im Sinne des § 43 Absatz 1 Satz 1 Nummer 1a und des § 36a Absatz 1 Satz 4 des Einkommensteuergesetzes nach amtlich vorgeschriebenen Vordruck auf elektronischem Weg anzumelden und</w:t>
      </w:r>
    </w:p>
    <w:p>
      <w:pPr>
        <w:ind w:left="420"/>
      </w:pPr>
      <w:r>
        <w:t xml:space="preserve">3. die angemeldete Steuer zu entrichten.</w:t>
      </w:r>
    </w:p>
    <w:p>
      <w:r>
        <w:t xml:space="preserve">Die Anzeige, Anmeldung und Entrichtung hat bei Steuerpflichtigen, die ihren Gewinn durch Bestandsvergleich ermitteln, nach Ablauf des Wirtschaftsjahres, bei Investmentfonds nach Ablauf des Geschäftsjahres und bei anderen Steuerpflichtigen nach Ablauf des Kalenderjahres bis zum Zehnten des folgenden Monats zu erfolgen. § 42 der Abgabenordnung bleibt unberührt.</w:t>
      </w:r>
    </w:p>
    <w:p>
      <w:r>
        <w:rPr>
          <w:color w:val="555555"/>
          <w:sz w:val="17"/>
        </w:rPr>
        <w:t xml:space="preserve">Zitiervorschlag: § 31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