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InvStG 2018 — Inländische Beteiligungseinnahmen und sonstige inländische Einkünfte mit Steuerabzug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Körperschaftsteuerpflicht für die inländischen Beteiligungseinnahmen eines Spezial-Investmentfonds entfällt, wenn der Spezial-Investmentfonds gegenüber dem Entrichtungspflichtigen unwiderruflich erklärt, dass den Anlegern des Spezial-Investmentfonds Steuerbescheinigungen gemäß § 45a Absatz 2 des Einkommensteuergesetzes ausgestellt werden sollen (Transparenzoption). Die Anleger gelten in diesem Fall als Gläubiger der inländischen Beteiligungseinnahmen und als Schuldner der Kapitalertragsteuer.</w:t>
      </w:r>
    </w:p>
    <w:p>
      <w:r>
        <w:t xml:space="preserve">(2) § 8b des Körperschaftsteuergesetzes ist vorbehaltlich des Absatzes 3 auf die dem Anleger zugerechneten Beteiligungseinnahmen anwendbar, soweit</w:t>
      </w:r>
    </w:p>
    <w:p>
      <w:pPr>
        <w:ind w:left="420"/>
      </w:pPr>
      <w:r>
        <w:t xml:space="preserve">1. es sich um Gewinnausschüttungen einer Gesellschaft im Sinne des § 26 Nummer 6 Satz 2 handelt und</w:t>
      </w:r>
    </w:p>
    <w:p>
      <w:pPr>
        <w:ind w:left="420"/>
      </w:pPr>
      <w:r>
        <w:t xml:space="preserve">2. die auf die Spezial-Investmentanteile des Anlegers rechnerisch entfallende Beteiligung am Kapital der Gesellschaft die Voraussetzungen für eine Freistellung nach § 8b des Körperschaftsteuergesetzes erfüllt.</w:t>
      </w:r>
    </w:p>
    <w:p>
      <w:r>
        <w:t xml:space="preserve">(3) § 3 Nummer 40 des Einkommensteuergesetzes und § 8b des Körperschaftsteuergesetzes sind auf die dem Anleger zugerechneten inländischen Beteiligungseinnahmen nicht anzuwenden, wenn der Anleger</w:t>
      </w:r>
    </w:p>
    <w:p>
      <w:pPr>
        <w:ind w:left="420"/>
      </w:pPr>
      <w:r>
        <w:t xml:space="preserve">1. ein Lebens- oder Krankenversicherungsunternehmen ist und der Spezial-Investmentanteil den Kapitalanlagen zuzurechnen ist oder</w:t>
      </w:r>
    </w:p>
    <w:p>
      <w:pPr>
        <w:ind w:left="420"/>
      </w:pPr>
      <w:r>
        <w:t xml:space="preserve">2. ein Institut oder Unternehmen nach § 3 Nummer 40 Satz 3 des Einkommensteuergesetzes oder § 8b Absatz 7 des Körperschaftsteuergesetzes ist und der Spezial-Investmentfonds in wesentlichem Umfang Anteile hält, die</w:t>
      </w:r>
    </w:p>
    <w:p>
      <w:pPr>
        <w:ind w:left="780"/>
      </w:pPr>
      <w:r>
        <w:t xml:space="preserve">a) dem Handelsbestand im Sinne des § 340e Absatz 3 des Handelsgesetzbuchs zuzuordnen wären oder</w:t>
      </w:r>
    </w:p>
    <w:p>
      <w:pPr>
        <w:ind w:left="780"/>
      </w:pPr>
      <w:r>
        <w:t xml:space="preserve">b) zum Zeitpunkt des Zugangs zum Betriebsvermögen als Umlaufvermögen auszuweisen wären,</w:t>
      </w:r>
    </w:p>
    <w:p>
      <w:pPr>
        <w:ind w:left="420"/>
      </w:pPr>
      <w:r>
        <w:t xml:space="preserve">wenn sie von dem Institut oder Unternehmen unmittelbar erworben worden wären.</w:t>
      </w:r>
    </w:p>
    <w:p>
      <w:r>
        <w:t xml:space="preserve">Satz 1 Nummer 1 gilt entsprechend, wenn der Anleger ein Pensionsfonds ist.</w:t>
      </w:r>
    </w:p>
    <w:p>
      <w:r>
        <w:t xml:space="preserve">(4) Ist der Anleger des Spezial-Investmentfonds ein Dach-Spezial-Investmentfonds, so sind die Absätze 1 bis 3 entsprechend auf den Dach-Spezial-Investmentfonds und dessen Anleger anzuwenden. Dies gilt nicht, soweit der Dach-Spezial-Investmentfonds Spezial-Investmentanteile an einem anderen Dach-Spezial-Investmentfonds hält.</w:t>
      </w:r>
    </w:p>
    <w:p>
      <w:r>
        <w:t xml:space="preserve">(5) Die Absätze 1 bis 4 gelten entsprechend für sonstige inländische Einkünfte eines Spezial-Investmentfonds, die bei Vereinnahmung durch den Spezial-Investmentfonds einem Steuerabzug unterliegen. Dies gilt nicht für sonstige inländische Einkünfte nach § 6 Absatz 5 Satz 1 Nummer 2 und 3.</w:t>
      </w:r>
    </w:p>
    <w:p>
      <w:r>
        <w:rPr>
          <w:color w:val="555555"/>
          <w:sz w:val="17"/>
        </w:rPr>
        <w:t xml:space="preserve">Zitiervorschlag: § 30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