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InvStG 2018 — Steuerpflicht des Spezial-Investmentfonds</w:t>
      </w:r>
    </w:p>
    <w:p>
      <w:r>
        <w:rPr>
          <w:color w:val="555555"/>
          <w:sz w:val="18"/>
        </w:rPr>
        <w:t xml:space="preserve">Investmentsteuergesetz</w:t>
      </w:r>
    </w:p>
    <w:p>
      <w:r>
        <w:rPr>
          <w:color w:val="555555"/>
          <w:sz w:val="18"/>
        </w:rPr>
        <w:t xml:space="preserve">Stand: 23.12.2022 (konsolidierte Textfassung, kein amtliches Inkrafttretensdatum)</w:t>
      </w:r>
    </w:p>
    <w:p>
      <w:r>
        <w:t xml:space="preserve">(1) Die Vorschriften der §§ 6, 7, 11 und 15 für die Besteuerung von Investmentfonds sind auf Spezial-Investmentfonds anzuwenden, soweit sich aus den nachfolgenden Regelungen keine Abweichungen ergeben.</w:t>
      </w:r>
    </w:p>
    <w:p>
      <w:r>
        <w:t xml:space="preserve">(2) In der Statusbescheinigung nach § 7 Absatz 3 ist der Status als Spezial-Investmentfonds zu bestätigen.</w:t>
      </w:r>
    </w:p>
    <w:p>
      <w:r>
        <w:t xml:space="preserve">(3) Bei einer Überschreitung der zulässigen Beteiligungshöhe nach § 26 Nummer 6 sind auf den Spezial-Investmentfonds keine Besteuerungsregelungen anzuwenden, die eine über dieser Grenze liegende Beteiligungshöhe voraussetzen. Dies gilt auch, wenn in Abkommen zur Vermeidung der Doppelbesteuerung Abweichendes geregelt ist.</w:t>
      </w:r>
    </w:p>
    <w:p>
      <w:r>
        <w:t xml:space="preserve">(4) Die Körperschaftsteuer des Spezial-Investmentfonds ermäßigt sich nicht um die vom Spezial-Investmentfonds gezahlte Gewerbesteuer nach § 29 Absatz 1 in Verbindung mit § 15. Die vom Spezial-Investmentfonds gezahlte Gewerbesteuer ist nicht als Werbungskosten abziehbar.</w:t>
      </w:r>
    </w:p>
    <w:p>
      <w:r>
        <w:rPr>
          <w:color w:val="555555"/>
          <w:sz w:val="17"/>
        </w:rPr>
        <w:t xml:space="preserve">Zitiervorschlag: § 29 InvStG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https://recht.nulegal.eu/gesetze/InvStG%202018/29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