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InvStG 2018 — Beteiligung von Personengesellschaften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Personengesellschaften, die unmittelbar oder mittelbar über andere Personengesellschaften Anleger eines Spezial-Investmentfonds sind, haben dem Spezial-Investmentfonds innerhalb von drei Monaten nach einem Erwerb des Spezial-Investmentanteils den Namen und die Anschrift ihrer Gesellschafter mitzuteilen. Die Personengesellschaft hat dem Spezial-Investmentfonds Änderungen in ihrer Zusammensetzung innerhalb von drei Monaten anzuzeigen.</w:t>
      </w:r>
    </w:p>
    <w:p>
      <w:r>
        <w:t xml:space="preserve">(2) Der gesetzliche Vertreter des Spezial-Investmentfonds hat die unmittelbar und mittelbar über Personengesellschaften beteiligten Anleger spätestens sechs Monate nach dem Erwerb eines Spezial-Investmentanteils in einem Anteilsregister einzutragen.</w:t>
      </w:r>
    </w:p>
    <w:p>
      <w:r>
        <w:t xml:space="preserve">(3) Erlangt der Spezial-Investmentfonds Kenntnis von einer Überschreitung der zulässigen Anlegerzahl oder von der Beteiligung natürlicher Personen, die nicht die Voraussetzungen des § 26 Nummer 8 erfüllen, so hat er unverzüglich sein Sonderkündigungsrecht auszuüben oder sonstige Maßnahmen zu ergreifen, um die zulässige Anlegerzahl und Anlegerzusammensetzung wiederherzustellen.</w:t>
      </w:r>
    </w:p>
    <w:p>
      <w:r>
        <w:rPr>
          <w:color w:val="555555"/>
          <w:sz w:val="17"/>
        </w:rPr>
        <w:t xml:space="preserve">Zitiervorschlag: § 28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